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ook w:firstColumn="1" w:firstRow="1" w:lastColumn="0" w:lastRow="0" w:noHBand="0" w:noVBand="1" w:val="04A0"/>
      </w:tblPr>
      <w:tblGrid>
        <w:gridCol w:w="8640"/>
      </w:tblGrid>
      <w:tr>
        <w:tc>
          <w:tcPr>
            <w:tcW w:type="dxa" w:w="8640"/>
            <w:shd w:val="clear" w:color="auto" w:fill="0A192F"/>
            <w:tcBorders>
              <w:top w:val="single" w:sz="0" w:space="0" w:color="0A192F"/>
              <w:left w:val="single" w:sz="0" w:space="0" w:color="0A192F"/>
              <w:bottom w:val="single" w:sz="0" w:space="0" w:color="0A192F"/>
              <w:right w:val="single" w:sz="0" w:space="0" w:color="0A192F"/>
            </w:tcBorders>
          </w:tcPr>
          <w:p>
            <w:r>
              <w:rPr>
                <w:sz w:val="32"/>
              </w:rPr>
              <w:t xml:space="preserve">  </w:t>
            </w:r>
          </w:p>
        </w:tc>
      </w:tr>
    </w:tbl>
    <w:tbl>
      <w:tblPr>
        <w:tblW w:type="auto" w:w="0"/>
        <w:tblLook w:firstColumn="1" w:firstRow="1" w:lastColumn="0" w:lastRow="0" w:noHBand="0" w:noVBand="1" w:val="04A0"/>
      </w:tblPr>
      <w:tblGrid>
        <w:gridCol w:w="8640"/>
      </w:tblGrid>
      <w:tr>
        <w:tc>
          <w:tcPr>
            <w:tcW w:type="dxa" w:w="8640"/>
            <w:shd w:val="clear" w:color="auto" w:fill="B8956B"/>
            <w:tcBorders>
              <w:top w:val="single" w:sz="0" w:space="0" w:color="B8956B"/>
              <w:left w:val="single" w:sz="0" w:space="0" w:color="B8956B"/>
              <w:bottom w:val="single" w:sz="0" w:space="0" w:color="B8956B"/>
              <w:right w:val="single" w:sz="0" w:space="0" w:color="B8956B"/>
            </w:tcBorders>
          </w:tcPr>
          <w:p>
            <w:r>
              <w:rPr>
                <w:sz w:val="6"/>
              </w:rPr>
              <w:t xml:space="preserve"> </w:t>
            </w:r>
          </w:p>
        </w:tc>
      </w:tr>
    </w:tbl>
    <w:p/>
    <w:p/>
    <w:p/>
    <w:p>
      <w:pPr>
        <w:spacing w:after="160"/>
        <w:jc w:val="left"/>
      </w:pPr>
      <w:r>
        <w:rPr>
          <w:rFonts w:ascii="Calibri" w:hAnsi="Calibri"/>
          <w:b/>
          <w:color w:val="B8956B"/>
          <w:sz w:val="18"/>
        </w:rPr>
        <w:t>PROPOSAL</w:t>
      </w:r>
    </w:p>
    <w:p>
      <w:pPr>
        <w:spacing w:after="200"/>
        <w:jc w:val="left"/>
        <w:bidi w:val="1"/>
      </w:pPr>
      <w:r>
        <w:rPr>
          <w:rFonts w:ascii="Calibri" w:hAnsi="Calibri"/>
          <w:b/>
          <w:color w:val="0A192F"/>
          <w:sz w:val="56"/>
          <w:rtl w:val="1"/>
        </w:rPr>
        <w:t>المهارات الأساسية لإتقان الوكلاء الأذكياء والأنظمة الذكية</w:t>
      </w:r>
    </w:p>
    <w:p>
      <w:pPr>
        <w:pBdr>
          <w:bottom w:val="single" w:sz="18" w:space="1" w:color="B8956B"/>
        </w:pBdr>
        <w:spacing w:after="280"/>
      </w:pPr>
    </w:p>
    <w:p>
      <w:pPr>
        <w:spacing w:after="360"/>
        <w:jc w:val="left"/>
        <w:bidi w:val="1"/>
      </w:pPr>
      <w:r>
        <w:rPr>
          <w:rFonts w:ascii="Calibri" w:hAnsi="Calibri"/>
          <w:color w:val="1B3A5F"/>
          <w:sz w:val="26"/>
          <w:rtl w:val="1"/>
        </w:rPr>
        <w:t>The Essential Skills for Mastering AI Agents &amp; Intelligent Systems — دليل تعلم شامل | 2026</w:t>
      </w:r>
    </w:p>
    <w:tbl>
      <w:tblPr>
        <w:tblW w:type="auto" w:w="0"/>
        <w:tblLook w:firstColumn="1" w:firstRow="1" w:lastColumn="0" w:lastRow="0" w:noHBand="0" w:noVBand="1" w:val="04A0"/>
      </w:tblPr>
      <w:tblGrid>
        <w:gridCol w:w="2880"/>
        <w:gridCol w:w="2880"/>
        <w:gridCol w:w="2880"/>
      </w:tblGrid>
      <w:tr>
        <w:tc>
          <w:tcPr>
            <w:tcW w:type="dxa" w:w="2880"/>
            <w:shd w:val="clear" w:color="auto" w:fill="F7F5F0"/>
            <w:tcBorders>
              <w:top w:val="single" w:sz="4" w:space="0" w:color="E8E2D9"/>
              <w:left w:val="single" w:sz="4" w:space="0" w:color="E8E2D9"/>
              <w:bottom w:val="single" w:sz="4" w:space="0" w:color="E8E2D9"/>
              <w:right w:val="single" w:sz="4" w:space="0" w:color="E8E2D9"/>
            </w:tcBorders>
          </w:tcPr>
          <w:p>
            <w:r/>
            <w:r>
              <w:rPr>
                <w:rFonts w:ascii="Calibri" w:hAnsi="Calibri"/>
                <w:b/>
                <w:color w:val="B8956B"/>
                <w:sz w:val="16"/>
              </w:rPr>
              <w:t>PREPARED BY</w:t>
            </w:r>
          </w:p>
          <w:p>
            <w:pPr>
              <w:jc w:val="right"/>
              <w:bidi w:val="1"/>
            </w:pPr>
            <w:r>
              <w:rPr>
                <w:rFonts w:ascii="Calibri" w:hAnsi="Calibri"/>
                <w:color w:val="0A192F"/>
                <w:sz w:val="22"/>
              </w:rPr>
              <w:t>الخليل العبدالي | إعداد خصيصًا لمسيرتك التدريبية</w:t>
            </w:r>
          </w:p>
        </w:tc>
        <w:tc>
          <w:tcPr>
            <w:tcW w:type="dxa" w:w="2880"/>
            <w:shd w:val="clear" w:color="auto" w:fill="F7F5F0"/>
            <w:tcBorders>
              <w:top w:val="single" w:sz="4" w:space="0" w:color="E8E2D9"/>
              <w:left w:val="single" w:sz="4" w:space="0" w:color="E8E2D9"/>
              <w:bottom w:val="single" w:sz="4" w:space="0" w:color="E8E2D9"/>
              <w:right w:val="single" w:sz="4" w:space="0" w:color="E8E2D9"/>
            </w:tcBorders>
          </w:tcPr>
          <w:p>
            <w:r/>
            <w:r>
              <w:rPr>
                <w:rFonts w:ascii="Calibri" w:hAnsi="Calibri"/>
                <w:b/>
                <w:color w:val="B8956B"/>
                <w:sz w:val="16"/>
              </w:rPr>
              <w:t>DATE</w:t>
            </w:r>
          </w:p>
          <w:p>
            <w:r>
              <w:rPr>
                <w:rFonts w:ascii="Calibri" w:hAnsi="Calibri"/>
                <w:color w:val="0A192F"/>
                <w:sz w:val="22"/>
              </w:rPr>
              <w:t>2026-07-22</w:t>
            </w:r>
          </w:p>
        </w:tc>
        <w:tc>
          <w:tcPr>
            <w:tcW w:type="dxa" w:w="2880"/>
            <w:shd w:val="clear" w:color="auto" w:fill="F7F5F0"/>
            <w:tcBorders>
              <w:top w:val="single" w:sz="4" w:space="0" w:color="E8E2D9"/>
              <w:left w:val="single" w:sz="4" w:space="0" w:color="E8E2D9"/>
              <w:bottom w:val="single" w:sz="4" w:space="0" w:color="E8E2D9"/>
              <w:right w:val="single" w:sz="4" w:space="0" w:color="E8E2D9"/>
            </w:tcBorders>
          </w:tcPr>
          <w:p>
            <w:r/>
            <w:r>
              <w:rPr>
                <w:rFonts w:ascii="Calibri" w:hAnsi="Calibri"/>
                <w:b/>
                <w:color w:val="B8956B"/>
                <w:sz w:val="16"/>
              </w:rPr>
              <w:t>STATUS</w:t>
            </w:r>
          </w:p>
          <w:p>
            <w:r>
              <w:rPr>
                <w:rFonts w:ascii="Calibri" w:hAnsi="Calibri"/>
                <w:color w:val="0A192F"/>
                <w:sz w:val="22"/>
              </w:rPr>
              <w:t>Confidential</w:t>
            </w:r>
          </w:p>
        </w:tc>
      </w:tr>
    </w:tbl>
    <w:p>
      <w:pPr>
        <w:spacing w:before="4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مقدمة | Introduction</w:t>
      </w:r>
    </w:p>
    <w:p>
      <w:r>
        <w:drawing>
          <wp:inline xmlns:a="http://schemas.openxmlformats.org/drawingml/2006/main" xmlns:pic="http://schemas.openxmlformats.org/drawingml/2006/picture">
            <wp:extent cx="4752000" cy="2566080"/>
            <wp:docPr id="1" name="Picture 1"/>
            <wp:cNvGraphicFramePr>
              <a:graphicFrameLocks noChangeAspect="1"/>
            </wp:cNvGraphicFramePr>
            <a:graphic>
              <a:graphicData uri="http://schemas.openxmlformats.org/drawingml/2006/picture">
                <pic:pic>
                  <pic:nvPicPr>
                    <pic:cNvPr id="0" name="agentic_ai_single_vs_multi_agent_systems_by_ida_si.png"/>
                    <pic:cNvPicPr/>
                  </pic:nvPicPr>
                  <pic:blipFill>
                    <a:blip r:embed="rId12"/>
                    <a:stretch>
                      <a:fillRect/>
                    </a:stretch>
                  </pic:blipFill>
                  <pic:spPr>
                    <a:xfrm>
                      <a:off x="0" y="0"/>
                      <a:ext cx="4752000" cy="2566080"/>
                    </a:xfrm>
                    <a:prstGeom prst="rect"/>
                  </pic:spPr>
                </pic:pic>
              </a:graphicData>
            </a:graphic>
          </wp:inline>
        </w:drawing>
      </w:r>
    </w:p>
    <w:p>
      <w:pPr>
        <w:jc w:val="center"/>
      </w:pPr>
      <w:r>
        <w:rPr>
          <w:i/>
          <w:color w:val="595959"/>
          <w:sz w:val="18"/>
        </w:rPr>
        <w:t>شكل 1: مقارنة بين الوكيل الفردي والوكلاء المتعددين — Agentic AI: Single vs Multi-Agent Systems</w:t>
      </w:r>
    </w:p>
    <w:p>
      <w:pPr>
        <w:spacing w:after="160" w:line="276" w:lineRule="auto"/>
        <w:jc w:val="right"/>
        <w:bidi w:val="1"/>
      </w:pPr>
      <w:r>
        <w:rPr>
          <w:rFonts w:ascii="Calibri" w:hAnsi="Calibri"/>
          <w:color w:val="1A202C"/>
          <w:sz w:val="22"/>
          <w:rtl w:val="1"/>
        </w:rPr>
        <w:t>هذا الدليل الشامل يضع بين يديك خريطة طريق متكاملة للمهارات التي تحتاجها لإتقان بناء وتطوير الوكلاء الأذكياء (AI Agents) والأنظمة الذكية. تم إعداده بناءً على أحدث المصادر لعام 2026، ليكون دليلك العملي في رحلتك من الأساسيات إلى الإنتاج.</w:t>
      </w:r>
    </w:p>
    <w:p>
      <w:pPr>
        <w:spacing w:after="160" w:line="276" w:lineRule="auto"/>
        <w:jc w:val="right"/>
        <w:bidi w:val="1"/>
      </w:pPr>
      <w:r>
        <w:rPr>
          <w:rFonts w:ascii="Calibri" w:hAnsi="Calibri"/>
          <w:color w:val="1A202C"/>
          <w:sz w:val="22"/>
          <w:rtl w:val="1"/>
        </w:rPr>
        <w:t>يعمل الخبير في هذا المجال على تصميم أنظمة تجمع بين نماذج اللغة الكبيرة (LLMs)، وقواعد المعرفة، وأدوات خارجية، ومنطق تنسيق متقدم — لبناء وكلاء قادرين على التفكير واتخاذ القرارات وتنفيذ المهام بشكل مستقل.</w:t>
      </w:r>
    </w:p>
    <w:tbl>
      <w:tblPr>
        <w:tblW w:type="auto" w:w="0"/>
        <w:tblLook w:firstColumn="1" w:firstRow="1" w:lastColumn="0" w:lastRow="0" w:noHBand="0" w:noVBand="1" w:val="04A0"/>
      </w:tblPr>
      <w:tblGrid>
        <w:gridCol w:w="8640"/>
      </w:tblGrid>
      <w:tr>
        <w:tc>
          <w:tcPr>
            <w:tcW w:type="dxa" w:w="8640"/>
            <w:shd w:val="clear" w:color="auto" w:fill="F7F5F0"/>
            <w:tcBorders>
              <w:top w:val="single" w:sz="4" w:space="0" w:color="F7F5F0"/>
              <w:left w:val="single" w:sz="24" w:space="0" w:color="B8956B"/>
              <w:bottom w:val="single" w:sz="4" w:space="0" w:color="F7F5F0"/>
              <w:right w:val="single" w:sz="4" w:space="0" w:color="F7F5F0"/>
            </w:tcBorders>
          </w:tcPr>
          <w:p>
            <w:pPr>
              <w:spacing w:before="120" w:after="120"/>
              <w:jc w:val="right"/>
              <w:bidi w:val="1"/>
            </w:pPr>
            <w:r>
              <w:rPr>
                <w:rFonts w:ascii="Calibri" w:hAnsi="Calibri"/>
                <w:b/>
                <w:color w:val="B8956B"/>
                <w:sz w:val="18"/>
              </w:rPr>
              <w:t xml:space="preserve">INFO  </w:t>
            </w:r>
            <w:r>
              <w:rPr>
                <w:rFonts w:ascii="Calibri" w:hAnsi="Calibri"/>
                <w:color w:val="1A202C"/>
                <w:sz w:val="20"/>
                <w:rtl w:val="1"/>
              </w:rPr>
              <w:t>خريطة المهارات في هذا الدليل تغطي 7 محاور رئيسية: الأساسيات → هندسة الأوامر → الاسترجاع والمعرفة → تصميم الوكلاء → الأطر والتنسيق → البروتوكولات والتكامل → الإنتاج والنشر</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1. الأساسيات البرمجية — Programming &amp; LLM Foundations</w:t>
      </w:r>
    </w:p>
    <w:p>
      <w:pPr>
        <w:spacing w:after="160" w:line="276" w:lineRule="auto"/>
        <w:jc w:val="right"/>
        <w:bidi w:val="1"/>
      </w:pPr>
      <w:r>
        <w:rPr>
          <w:rFonts w:ascii="Calibri" w:hAnsi="Calibri"/>
          <w:color w:val="1A202C"/>
          <w:sz w:val="22"/>
          <w:rtl w:val="1"/>
        </w:rPr>
        <w:t>قبل بناء أي وكيل ذكي، لا بد من إتقان الطبقة الأساسية. هذه المهارات هي الركيزة التي يقوم عليها كل ما يليها.</w:t>
      </w:r>
    </w:p>
    <w:p>
      <w:pPr>
        <w:pStyle w:val="Heading2"/>
        <w:spacing w:before="240" w:after="80"/>
        <w:jc w:val="right"/>
        <w:bidi w:val="1"/>
        <w:pBdr>
          <w:bottom w:val="single" w:sz="6" w:space="3" w:color="1B3A5F"/>
        </w:pBdr>
      </w:pPr>
      <w:r>
        <w:rPr>
          <w:rFonts w:ascii="Calibri" w:hAnsi="Calibri"/>
          <w:b/>
          <w:color w:val="1B3A5F"/>
          <w:sz w:val="30"/>
          <w:rtl w:val="1"/>
        </w:rPr>
        <w:t>1.1 لغة بايثون ومبادئ البرمجة</w:t>
      </w:r>
    </w:p>
    <w:p>
      <w:pPr>
        <w:spacing w:after="60"/>
        <w:ind w:right="504"/>
        <w:jc w:val="right"/>
        <w:bidi w:val="1"/>
      </w:pPr>
      <w:r>
        <w:rPr>
          <w:rFonts w:ascii="Calibri" w:hAnsi="Calibri"/>
          <w:color w:val="1A202C"/>
          <w:sz w:val="22"/>
          <w:rtl w:val="1"/>
        </w:rPr>
        <w:t>بايثون (Python) — اللغة الأساسية: دوال، كلاسات، Decorators, Generators, Async/Await</w:t>
      </w:r>
      <w:r>
        <w:rPr>
          <w:rFonts w:ascii="Calibri" w:hAnsi="Calibri"/>
          <w:color w:val="B8956B"/>
          <w:sz w:val="22"/>
        </w:rPr>
        <w:t xml:space="preserve">  •</w:t>
      </w:r>
    </w:p>
    <w:p>
      <w:pPr>
        <w:spacing w:after="60"/>
        <w:ind w:right="504"/>
        <w:jc w:val="right"/>
        <w:bidi w:val="1"/>
      </w:pPr>
      <w:r>
        <w:rPr>
          <w:rFonts w:ascii="Calibri" w:hAnsi="Calibri"/>
          <w:color w:val="1A202C"/>
          <w:sz w:val="22"/>
          <w:rtl w:val="1"/>
        </w:rPr>
        <w:t>Git و GitHub — إدارة الإصدارات والتعاون على الكود</w:t>
      </w:r>
      <w:r>
        <w:rPr>
          <w:rFonts w:ascii="Calibri" w:hAnsi="Calibri"/>
          <w:color w:val="B8956B"/>
          <w:sz w:val="22"/>
        </w:rPr>
        <w:t xml:space="preserve">  •</w:t>
      </w:r>
    </w:p>
    <w:p>
      <w:pPr>
        <w:spacing w:after="60"/>
        <w:ind w:right="504"/>
        <w:jc w:val="right"/>
        <w:bidi w:val="1"/>
      </w:pPr>
      <w:r>
        <w:rPr>
          <w:rFonts w:ascii="Calibri" w:hAnsi="Calibri"/>
          <w:color w:val="1A202C"/>
          <w:sz w:val="22"/>
          <w:rtl w:val="1"/>
        </w:rPr>
        <w:t>REST APIs — فهم HTTP، JSON، توثيق واجهات API</w:t>
      </w:r>
      <w:r>
        <w:rPr>
          <w:rFonts w:ascii="Calibri" w:hAnsi="Calibri"/>
          <w:color w:val="B8956B"/>
          <w:sz w:val="22"/>
        </w:rPr>
        <w:t xml:space="preserve">  •</w:t>
      </w:r>
    </w:p>
    <w:p>
      <w:pPr>
        <w:spacing w:after="60"/>
        <w:ind w:right="504"/>
        <w:jc w:val="right"/>
        <w:bidi w:val="1"/>
      </w:pPr>
      <w:r>
        <w:rPr>
          <w:rFonts w:ascii="Calibri" w:hAnsi="Calibri"/>
          <w:color w:val="1A202C"/>
          <w:sz w:val="22"/>
          <w:rtl w:val="1"/>
        </w:rPr>
        <w:t>مبادئ تصميم الأنظمة: Microservices, Containerization (Docker)</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1.2 أساسيات نماذج اللغة الكبيرة (LLMs)</w:t>
      </w:r>
    </w:p>
    <w:p>
      <w:pPr>
        <w:spacing w:after="60"/>
        <w:ind w:right="504"/>
        <w:jc w:val="right"/>
        <w:bidi w:val="1"/>
      </w:pPr>
      <w:r>
        <w:rPr>
          <w:rFonts w:ascii="Calibri" w:hAnsi="Calibri"/>
          <w:color w:val="1A202C"/>
          <w:sz w:val="22"/>
          <w:rtl w:val="1"/>
        </w:rPr>
        <w:t>فهم كيفية عمل LLMs: Tokenization, Attention, Transformers</w:t>
      </w:r>
      <w:r>
        <w:rPr>
          <w:rFonts w:ascii="Calibri" w:hAnsi="Calibri"/>
          <w:color w:val="B8956B"/>
          <w:sz w:val="22"/>
        </w:rPr>
        <w:t xml:space="preserve">  •</w:t>
      </w:r>
    </w:p>
    <w:p>
      <w:pPr>
        <w:spacing w:after="60"/>
        <w:ind w:right="504"/>
        <w:jc w:val="right"/>
        <w:bidi w:val="1"/>
      </w:pPr>
      <w:r>
        <w:rPr>
          <w:rFonts w:ascii="Calibri" w:hAnsi="Calibri"/>
          <w:color w:val="1A202C"/>
          <w:sz w:val="22"/>
          <w:rtl w:val="1"/>
        </w:rPr>
        <w:t>مفاهيم: Temperature, Top-P, Max Tokens, Stop Sequences</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التعامل مع API الموديلات: OpenAI, Anthropic, Google Gemini, Open Source</w:t>
      </w:r>
      <w:r>
        <w:rPr>
          <w:rFonts w:ascii="Calibri" w:hAnsi="Calibri"/>
          <w:color w:val="B8956B"/>
          <w:sz w:val="22"/>
        </w:rPr>
        <w:t xml:space="preserve">  •</w:t>
      </w:r>
    </w:p>
    <w:p>
      <w:pPr>
        <w:spacing w:after="60"/>
        <w:ind w:right="504"/>
        <w:jc w:val="right"/>
        <w:bidi w:val="1"/>
      </w:pPr>
      <w:r>
        <w:rPr>
          <w:rFonts w:ascii="Calibri" w:hAnsi="Calibri"/>
          <w:color w:val="1A202C"/>
          <w:sz w:val="22"/>
          <w:rtl w:val="1"/>
        </w:rPr>
        <w:t>بنية الـ Context Window وكيفية إدارتها</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1.3 Function Calling — جوهر الوكلاء</w:t>
      </w:r>
    </w:p>
    <w:p>
      <w:pPr>
        <w:spacing w:after="160" w:line="276" w:lineRule="auto"/>
        <w:jc w:val="right"/>
        <w:bidi w:val="1"/>
      </w:pPr>
      <w:r>
        <w:rPr>
          <w:rFonts w:ascii="Calibri" w:hAnsi="Calibri"/>
          <w:color w:val="1A202C"/>
          <w:sz w:val="22"/>
          <w:rtl w:val="1"/>
        </w:rPr>
        <w:t>Function Calling هو الآلية التي تسمح للنموذج باستدعاء أدوات خارجية. بدونه لا يوجد وكيل ذكي حقيقي. يتضمن تعريف Schemas للأدوات ومطابقة الاستدعاء مع النتائج.</w:t>
      </w:r>
    </w:p>
    <w:tbl>
      <w:tblPr>
        <w:tblW w:type="auto" w:w="0"/>
        <w:tblLook w:firstColumn="1" w:firstRow="1" w:lastColumn="0" w:lastRow="0" w:noHBand="0" w:noVBand="1" w:val="04A0"/>
      </w:tblPr>
      <w:tblGrid>
        <w:gridCol w:w="8640"/>
      </w:tblGrid>
      <w:tr>
        <w:tc>
          <w:tcPr>
            <w:tcW w:type="dxa" w:w="8640"/>
            <w:shd w:val="clear" w:color="auto" w:fill="ECFDF5"/>
            <w:tcBorders>
              <w:top w:val="single" w:sz="4" w:space="0" w:color="ECFDF5"/>
              <w:left w:val="single" w:sz="24" w:space="0" w:color="059669"/>
              <w:bottom w:val="single" w:sz="4" w:space="0" w:color="ECFDF5"/>
              <w:right w:val="single" w:sz="4" w:space="0" w:color="ECFDF5"/>
            </w:tcBorders>
          </w:tcPr>
          <w:p>
            <w:pPr>
              <w:spacing w:before="120" w:after="120"/>
              <w:jc w:val="right"/>
              <w:bidi w:val="1"/>
            </w:pPr>
            <w:r>
              <w:rPr>
                <w:rFonts w:ascii="Calibri" w:hAnsi="Calibri"/>
                <w:b/>
                <w:color w:val="059669"/>
                <w:sz w:val="18"/>
              </w:rPr>
              <w:t xml:space="preserve">TIP  </w:t>
            </w:r>
            <w:r>
              <w:rPr>
                <w:rFonts w:ascii="Calibri" w:hAnsi="Calibri"/>
                <w:color w:val="1A202C"/>
                <w:sz w:val="20"/>
                <w:rtl w:val="1"/>
              </w:rPr>
              <w:t>هذه الطبقة تستغرق 2-4 أسابيع لمن لديه خلفية برمجية، و4-8 أسابيع للمبتدئين.</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2. هندسة الأوامر المتقدمة — Advanced Prompt Engineering</w:t>
      </w:r>
    </w:p>
    <w:p>
      <w:pPr>
        <w:spacing w:after="160" w:line="276" w:lineRule="auto"/>
        <w:jc w:val="right"/>
        <w:bidi w:val="1"/>
      </w:pPr>
      <w:r>
        <w:rPr>
          <w:rFonts w:ascii="Calibri" w:hAnsi="Calibri"/>
          <w:color w:val="1A202C"/>
          <w:sz w:val="22"/>
          <w:rtl w:val="1"/>
        </w:rPr>
        <w:t>لم تعد هندسة الأوامر مجرد كتابة نص جيد — أصبحت علمًا دقيقًا يجمع بنية التعليمات المنهجية مع تقنيات التحكم في المخرجات.</w:t>
      </w:r>
    </w:p>
    <w:p>
      <w:pPr>
        <w:pStyle w:val="Heading2"/>
        <w:spacing w:before="240" w:after="80"/>
        <w:jc w:val="right"/>
        <w:bidi w:val="1"/>
        <w:pBdr>
          <w:bottom w:val="single" w:sz="6" w:space="3" w:color="1B3A5F"/>
        </w:pBdr>
      </w:pPr>
      <w:r>
        <w:rPr>
          <w:rFonts w:ascii="Calibri" w:hAnsi="Calibri"/>
          <w:b/>
          <w:color w:val="1B3A5F"/>
          <w:sz w:val="30"/>
          <w:rtl w:val="1"/>
        </w:rPr>
        <w:t>2.1 تقنيات الهندسة الأساسية</w:t>
      </w:r>
    </w:p>
    <w:tbl>
      <w:tblPr>
        <w:tblStyle w:val="TableGrid"/>
        <w:tblW w:type="auto" w:w="0"/>
        <w:tblLayout w:type="autofit"/>
        <w:tblLook w:firstColumn="1" w:firstRow="1" w:lastColumn="0" w:lastRow="0" w:noHBand="0" w:noVBand="1" w:val="04A0"/>
      </w:tblPr>
      <w:tblGrid>
        <w:gridCol w:w="2880"/>
        <w:gridCol w:w="2880"/>
        <w:gridCol w:w="2880"/>
      </w:tblGrid>
      <w:tr>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التقنية</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الوصف</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الاستخدام</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Few-Shot Prompting</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إعطاء أمثلة في السياق</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تحسين دقة الإجابات في مهام محددة</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Chain-of-Thought</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طلب تفكير خطوة بخطوة</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المسائل المنطقية والحسابية</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Structured Output</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تحديد JSON Schema للإخراج</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ضمان تنسيق مخرجات قابل للبرمجة</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System Prompt Engineering</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كتابة تعليمات النظام</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تحديد الشخصية والقيود والسياق</w:t>
            </w:r>
          </w:p>
        </w:tc>
      </w:tr>
    </w:tbl>
    <w:p>
      <w:pPr>
        <w:spacing w:after="120"/>
      </w:pPr>
    </w:p>
    <w:p>
      <w:pPr>
        <w:pStyle w:val="Heading2"/>
        <w:spacing w:before="240" w:after="80"/>
        <w:jc w:val="right"/>
        <w:bidi w:val="1"/>
        <w:pBdr>
          <w:bottom w:val="single" w:sz="6" w:space="3" w:color="1B3A5F"/>
        </w:pBdr>
      </w:pPr>
      <w:r>
        <w:rPr>
          <w:rFonts w:ascii="Calibri" w:hAnsi="Calibri"/>
          <w:b/>
          <w:color w:val="1B3A5F"/>
          <w:sz w:val="30"/>
          <w:rtl w:val="1"/>
        </w:rPr>
        <w:t>2.2 هندسة الأوامر للوكلاء</w:t>
      </w:r>
    </w:p>
    <w:p>
      <w:pPr>
        <w:spacing w:after="60"/>
        <w:ind w:right="504"/>
        <w:jc w:val="right"/>
        <w:bidi w:val="1"/>
      </w:pPr>
      <w:r>
        <w:rPr>
          <w:rFonts w:ascii="Calibri" w:hAnsi="Calibri"/>
          <w:color w:val="1A202C"/>
          <w:sz w:val="22"/>
          <w:rtl w:val="1"/>
        </w:rPr>
        <w:t>كتابة تعليمات نظام للوكيل: السياق، الأدوات، القيود، أسلوب العمل</w:t>
      </w:r>
      <w:r>
        <w:rPr>
          <w:rFonts w:ascii="Calibri" w:hAnsi="Calibri"/>
          <w:color w:val="B8956B"/>
          <w:sz w:val="22"/>
        </w:rPr>
        <w:t xml:space="preserve">  •</w:t>
      </w:r>
    </w:p>
    <w:p>
      <w:pPr>
        <w:spacing w:after="60"/>
        <w:ind w:right="504"/>
        <w:jc w:val="right"/>
        <w:bidi w:val="1"/>
      </w:pPr>
      <w:r>
        <w:rPr>
          <w:rFonts w:ascii="Calibri" w:hAnsi="Calibri"/>
          <w:color w:val="1A202C"/>
          <w:sz w:val="22"/>
          <w:rtl w:val="1"/>
        </w:rPr>
        <w:t>إدارة السياق: Dynamic Context Window, Sliding Window, Summarization</w:t>
      </w:r>
      <w:r>
        <w:rPr>
          <w:rFonts w:ascii="Calibri" w:hAnsi="Calibri"/>
          <w:color w:val="B8956B"/>
          <w:sz w:val="22"/>
        </w:rPr>
        <w:t xml:space="preserve">  •</w:t>
      </w:r>
    </w:p>
    <w:p>
      <w:pPr>
        <w:spacing w:after="60"/>
        <w:ind w:left="504" w:hanging="259"/>
      </w:pPr>
      <w:r>
        <w:rPr>
          <w:rFonts w:ascii="Calibri" w:hAnsi="Calibri"/>
          <w:color w:val="B8956B"/>
          <w:sz w:val="22"/>
        </w:rPr>
        <w:t xml:space="preserve">•  </w:t>
      </w:r>
      <w:r>
        <w:rPr>
          <w:rFonts w:ascii="Calibri" w:hAnsi="Calibri"/>
          <w:color w:val="1A202C"/>
          <w:sz w:val="22"/>
        </w:rPr>
        <w:t>Structured Output: JSON Mode, Pydantic Output Parsers</w:t>
      </w:r>
    </w:p>
    <w:p>
      <w:pPr>
        <w:spacing w:after="60"/>
        <w:ind w:right="504"/>
        <w:jc w:val="right"/>
        <w:bidi w:val="1"/>
      </w:pPr>
      <w:r>
        <w:rPr>
          <w:rFonts w:ascii="Calibri" w:hAnsi="Calibri"/>
          <w:color w:val="1A202C"/>
          <w:sz w:val="22"/>
          <w:rtl w:val="1"/>
        </w:rPr>
        <w:t>إدارة الحلقات: Loop Engineering — كتابة مدققات (Verifiers) وليس أوامر</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FFFBEB"/>
            <w:tcBorders>
              <w:top w:val="single" w:sz="4" w:space="0" w:color="FFFBEB"/>
              <w:left w:val="single" w:sz="24" w:space="0" w:color="D97706"/>
              <w:bottom w:val="single" w:sz="4" w:space="0" w:color="FFFBEB"/>
              <w:right w:val="single" w:sz="4" w:space="0" w:color="FFFBEB"/>
            </w:tcBorders>
          </w:tcPr>
          <w:p>
            <w:pPr>
              <w:spacing w:before="120" w:after="120"/>
              <w:jc w:val="right"/>
              <w:bidi w:val="1"/>
            </w:pPr>
            <w:r>
              <w:rPr>
                <w:rFonts w:ascii="Calibri" w:hAnsi="Calibri"/>
                <w:b/>
                <w:color w:val="D97706"/>
                <w:sz w:val="18"/>
              </w:rPr>
              <w:t xml:space="preserve">WARNING  </w:t>
            </w:r>
            <w:r>
              <w:rPr>
                <w:rFonts w:ascii="Calibri" w:hAnsi="Calibri"/>
                <w:color w:val="1A202C"/>
                <w:sz w:val="20"/>
                <w:rtl w:val="1"/>
              </w:rPr>
              <w:t>مبدأ مهم في 2026: Write Verifiers, Not Prompts — أي اكتب مدققات تتحقق من المخرجات بدلاً من محاولة ضبط الأوامر</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3. الاسترجاع المعزز وقواعد المعرفة — RAG &amp; Knowledge Systems</w:t>
      </w:r>
    </w:p>
    <w:p>
      <w:pPr>
        <w:spacing w:after="160" w:line="276" w:lineRule="auto"/>
        <w:jc w:val="right"/>
        <w:bidi w:val="1"/>
      </w:pPr>
      <w:r>
        <w:rPr>
          <w:rFonts w:ascii="Calibri" w:hAnsi="Calibri"/>
          <w:color w:val="1A202C"/>
          <w:sz w:val="22"/>
          <w:rtl w:val="1"/>
        </w:rPr>
        <w:t>RAG هو المهارة الأكثر طلبًا في هندسة الذكاء الاصطناعي لعام 2026. تمكن الوكلاء من الوصول إلى معرفة خارجية دقيقة بدلاً من الاعتماد على التدريب المسبق فقط.</w:t>
      </w:r>
    </w:p>
    <w:p>
      <w:pPr>
        <w:pStyle w:val="Heading2"/>
        <w:spacing w:before="240" w:after="80"/>
        <w:jc w:val="right"/>
        <w:bidi w:val="1"/>
        <w:pBdr>
          <w:bottom w:val="single" w:sz="6" w:space="3" w:color="1B3A5F"/>
        </w:pBdr>
      </w:pPr>
      <w:r>
        <w:rPr>
          <w:rFonts w:ascii="Calibri" w:hAnsi="Calibri"/>
          <w:b/>
          <w:color w:val="1B3A5F"/>
          <w:sz w:val="30"/>
          <w:rtl w:val="1"/>
        </w:rPr>
        <w:t>3.1 أساسيات RAG</w:t>
      </w:r>
    </w:p>
    <w:p>
      <w:pPr>
        <w:spacing w:after="60"/>
        <w:ind w:right="504"/>
        <w:jc w:val="right"/>
        <w:bidi w:val="1"/>
      </w:pPr>
      <w:r>
        <w:rPr>
          <w:rFonts w:ascii="Calibri" w:hAnsi="Calibri"/>
          <w:color w:val="1A202C"/>
          <w:sz w:val="22"/>
          <w:rtl w:val="1"/>
        </w:rPr>
        <w:t>التقطيع (Chunking): تقسيم النصوص إلى أجزاء مناسبة — Fixed, Semantic, Recursive</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التضمين (Embeddings): تحويل النصوص إلى متجهات باستخدام نماذج التضمين</w:t>
      </w:r>
      <w:r>
        <w:rPr>
          <w:rFonts w:ascii="Calibri" w:hAnsi="Calibri"/>
          <w:color w:val="B8956B"/>
          <w:sz w:val="22"/>
        </w:rPr>
        <w:t xml:space="preserve">  •</w:t>
      </w:r>
    </w:p>
    <w:p>
      <w:pPr>
        <w:spacing w:after="60"/>
        <w:ind w:right="504"/>
        <w:jc w:val="right"/>
        <w:bidi w:val="1"/>
      </w:pPr>
      <w:r>
        <w:rPr>
          <w:rFonts w:ascii="Calibri" w:hAnsi="Calibri"/>
          <w:color w:val="1A202C"/>
          <w:sz w:val="22"/>
          <w:rtl w:val="1"/>
        </w:rPr>
        <w:t>قواعد المتجهات (Vector Databases): Pinecone, ChromaDB, Qdrant, Weaviate</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الاسترجاع (Retrieval): Similarity Search, Hybrid Search, Re-Ranking</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3.2 تقنيات RAG المتقدمة</w:t>
      </w:r>
    </w:p>
    <w:p>
      <w:pPr>
        <w:spacing w:after="60"/>
        <w:ind w:right="504"/>
        <w:jc w:val="right"/>
        <w:bidi w:val="1"/>
      </w:pPr>
      <w:r>
        <w:rPr>
          <w:rFonts w:ascii="Calibri" w:hAnsi="Calibri"/>
          <w:color w:val="1A202C"/>
          <w:sz w:val="22"/>
          <w:rtl w:val="1"/>
        </w:rPr>
        <w:t>RAG Fusion: دمج نتائج استعلامات متعددة</w:t>
      </w:r>
      <w:r>
        <w:rPr>
          <w:rFonts w:ascii="Calibri" w:hAnsi="Calibri"/>
          <w:color w:val="B8956B"/>
          <w:sz w:val="22"/>
        </w:rPr>
        <w:t xml:space="preserve">  •</w:t>
      </w:r>
    </w:p>
    <w:p>
      <w:pPr>
        <w:spacing w:after="60"/>
        <w:ind w:right="504"/>
        <w:jc w:val="right"/>
        <w:bidi w:val="1"/>
      </w:pPr>
      <w:r>
        <w:rPr>
          <w:rFonts w:ascii="Calibri" w:hAnsi="Calibri"/>
          <w:color w:val="1A202C"/>
          <w:sz w:val="22"/>
          <w:rtl w:val="1"/>
        </w:rPr>
        <w:t>Agentic RAG: الوكيل نفسه يقرر متى وكيف يسترجع</w:t>
      </w:r>
      <w:r>
        <w:rPr>
          <w:rFonts w:ascii="Calibri" w:hAnsi="Calibri"/>
          <w:color w:val="B8956B"/>
          <w:sz w:val="22"/>
        </w:rPr>
        <w:t xml:space="preserve">  •</w:t>
      </w:r>
    </w:p>
    <w:p>
      <w:pPr>
        <w:spacing w:after="60"/>
        <w:ind w:right="504"/>
        <w:jc w:val="right"/>
        <w:bidi w:val="1"/>
      </w:pPr>
      <w:r>
        <w:rPr>
          <w:rFonts w:ascii="Calibri" w:hAnsi="Calibri"/>
          <w:color w:val="1A202C"/>
          <w:sz w:val="22"/>
          <w:rtl w:val="1"/>
        </w:rPr>
        <w:t>Graph RAG: استخدام Knowledge Graphs لتحسين الاسترجاع</w:t>
      </w:r>
      <w:r>
        <w:rPr>
          <w:rFonts w:ascii="Calibri" w:hAnsi="Calibri"/>
          <w:color w:val="B8956B"/>
          <w:sz w:val="22"/>
        </w:rPr>
        <w:t xml:space="preserve">  •</w:t>
      </w:r>
    </w:p>
    <w:p>
      <w:pPr>
        <w:spacing w:after="60"/>
        <w:ind w:right="504"/>
        <w:jc w:val="right"/>
        <w:bidi w:val="1"/>
      </w:pPr>
      <w:r>
        <w:rPr>
          <w:rFonts w:ascii="Calibri" w:hAnsi="Calibri"/>
          <w:color w:val="1A202C"/>
          <w:sz w:val="22"/>
          <w:rtl w:val="1"/>
        </w:rPr>
        <w:t>Multi-Hop RAG: استرجاع عبر خطوات متعددة وربط المعلومات</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ECFDF5"/>
            <w:tcBorders>
              <w:top w:val="single" w:sz="4" w:space="0" w:color="ECFDF5"/>
              <w:left w:val="single" w:sz="24" w:space="0" w:color="059669"/>
              <w:bottom w:val="single" w:sz="4" w:space="0" w:color="ECFDF5"/>
              <w:right w:val="single" w:sz="4" w:space="0" w:color="ECFDF5"/>
            </w:tcBorders>
          </w:tcPr>
          <w:p>
            <w:pPr>
              <w:spacing w:before="120" w:after="120"/>
              <w:jc w:val="right"/>
              <w:bidi w:val="1"/>
            </w:pPr>
            <w:r>
              <w:rPr>
                <w:rFonts w:ascii="Calibri" w:hAnsi="Calibri"/>
                <w:b/>
                <w:color w:val="059669"/>
                <w:sz w:val="18"/>
              </w:rPr>
              <w:t xml:space="preserve">TIP  </w:t>
            </w:r>
            <w:r>
              <w:rPr>
                <w:rFonts w:ascii="Calibri" w:hAnsi="Calibri"/>
                <w:color w:val="1A202C"/>
                <w:sz w:val="20"/>
                <w:rtl w:val="1"/>
              </w:rPr>
              <w:t>خبراء RAG المتمرسون يمكنهم تحسين دقة الإجابات من 50% إلى أكثر من 95% من خلال اختيار استراتيجية التقطيع والتضمين والاسترجاع الصحيحة.</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4. تصميم الوكلاء الذكيين — AI Agent Architecture &amp; Design</w:t>
      </w:r>
    </w:p>
    <w:p>
      <w:pPr>
        <w:spacing w:after="160" w:line="276" w:lineRule="auto"/>
        <w:jc w:val="right"/>
        <w:bidi w:val="1"/>
      </w:pPr>
      <w:r>
        <w:rPr>
          <w:rFonts w:ascii="Calibri" w:hAnsi="Calibri"/>
          <w:color w:val="1A202C"/>
          <w:sz w:val="22"/>
          <w:rtl w:val="1"/>
        </w:rPr>
        <w:t>هذا هو المحور الأهم — فهم بنية الوكيل الذكي. الوكيل ليس شات بوت. إنه نظام متكامل يجمع بين النموذج والأدوات والذاكرة والتخطيط.</w:t>
      </w:r>
    </w:p>
    <w:p>
      <w:pPr>
        <w:pStyle w:val="Heading2"/>
        <w:spacing w:before="240" w:after="80"/>
        <w:jc w:val="right"/>
        <w:bidi w:val="1"/>
        <w:pBdr>
          <w:bottom w:val="single" w:sz="6" w:space="3" w:color="1B3A5F"/>
        </w:pBdr>
      </w:pPr>
      <w:r>
        <w:rPr>
          <w:rFonts w:ascii="Calibri" w:hAnsi="Calibri"/>
          <w:b/>
          <w:color w:val="1B3A5F"/>
          <w:sz w:val="30"/>
          <w:rtl w:val="1"/>
        </w:rPr>
        <w:t>4.1 Agent Loop — دورة حياة الوكيل</w:t>
      </w:r>
    </w:p>
    <w:p>
      <w:r>
        <w:drawing>
          <wp:inline xmlns:a="http://schemas.openxmlformats.org/drawingml/2006/main" xmlns:pic="http://schemas.openxmlformats.org/drawingml/2006/picture">
            <wp:extent cx="4752000" cy="3166869"/>
            <wp:docPr id="2" name="Picture 2"/>
            <wp:cNvGraphicFramePr>
              <a:graphicFrameLocks noChangeAspect="1"/>
            </wp:cNvGraphicFramePr>
            <a:graphic>
              <a:graphicData uri="http://schemas.openxmlformats.org/drawingml/2006/picture">
                <pic:pic>
                  <pic:nvPicPr>
                    <pic:cNvPr id="0" name="designing_a_scalable_multi_agent_ai_system_for_ope.png"/>
                    <pic:cNvPicPr/>
                  </pic:nvPicPr>
                  <pic:blipFill>
                    <a:blip r:embed="rId13"/>
                    <a:stretch>
                      <a:fillRect/>
                    </a:stretch>
                  </pic:blipFill>
                  <pic:spPr>
                    <a:xfrm>
                      <a:off x="0" y="0"/>
                      <a:ext cx="4752000" cy="3166869"/>
                    </a:xfrm>
                    <a:prstGeom prst="rect"/>
                  </pic:spPr>
                </pic:pic>
              </a:graphicData>
            </a:graphic>
          </wp:inline>
        </w:drawing>
      </w:r>
    </w:p>
    <w:p>
      <w:pPr>
        <w:jc w:val="center"/>
      </w:pPr>
      <w:r>
        <w:rPr>
          <w:i/>
          <w:color w:val="595959"/>
          <w:sz w:val="18"/>
        </w:rPr>
        <w:t>شكل 2: بنية نظام وكيل ذكي قابل للتوسع — Scalable Multi-Agent System Architecture</w:t>
      </w:r>
    </w:p>
    <w:p>
      <w:pPr>
        <w:spacing w:after="160" w:line="276" w:lineRule="auto"/>
        <w:jc w:val="right"/>
        <w:bidi w:val="1"/>
      </w:pPr>
      <w:r>
        <w:rPr>
          <w:rFonts w:ascii="Calibri" w:hAnsi="Calibri"/>
          <w:color w:val="1A202C"/>
          <w:sz w:val="22"/>
          <w:rtl w:val="1"/>
        </w:rPr>
        <w:t>الوكيل الذكي يعمل في حلقة مستمرة: Perception (استقبال المدخلات) → Reasoning (تفكير) → Action (فعل) → Observation (ملاحظة النتائج) → تكرار حتى اكتمال الهدف.</w:t>
      </w:r>
    </w:p>
    <w:p>
      <w:pPr>
        <w:pStyle w:val="Heading2"/>
        <w:spacing w:before="240" w:after="80"/>
        <w:jc w:val="right"/>
        <w:bidi w:val="1"/>
        <w:pBdr>
          <w:bottom w:val="single" w:sz="6" w:space="3" w:color="1B3A5F"/>
        </w:pBdr>
      </w:pPr>
      <w:r>
        <w:rPr>
          <w:rFonts w:ascii="Calibri" w:hAnsi="Calibri"/>
          <w:b/>
          <w:color w:val="1B3A5F"/>
          <w:sz w:val="30"/>
          <w:rtl w:val="1"/>
        </w:rPr>
        <w:t>4.2 مكونات الوكيل الأساسية</w:t>
      </w:r>
    </w:p>
    <w:tbl>
      <w:tblPr>
        <w:tblStyle w:val="TableGrid"/>
        <w:tblW w:type="auto" w:w="0"/>
        <w:tblLayout w:type="autofit"/>
        <w:tblLook w:firstColumn="1" w:firstRow="1" w:lastColumn="0" w:lastRow="0" w:noHBand="0" w:noVBand="1" w:val="04A0"/>
      </w:tblPr>
      <w:tblGrid>
        <w:gridCol w:w="2880"/>
        <w:gridCol w:w="2880"/>
        <w:gridCol w:w="2880"/>
      </w:tblGrid>
      <w:tr>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المكون</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الوظيفة</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تقنيات شائعة</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النموذج الأساسي (LLM)</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دماغ الوكيل — التفكير واتخاذ القرارات</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GPT-4o, Claude, Gemini, Llama</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الأدوات (Tools)</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قدرات الوكيل — واجهات API, DB, Browser</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Function Calling, MCP Tools, Custom APIs</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الذاكرة (Memory)</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تذكر السياق والتجارب السابقة</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Short-term, Long-term, Episodic, Semantic</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التخطيط (Planning)</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تقسيم الأهداف الكبيرة إلى خطوات</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ReAct, Plan-and-Execute, Tree-of-Thoughts</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التقييم (Reflection)</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مراجعة المخرجات وتصحيح الأخطاء</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Self-Critique, Loop Engineering</w:t>
            </w:r>
          </w:p>
        </w:tc>
      </w:tr>
    </w:tbl>
    <w:p>
      <w:pPr>
        <w:spacing w:after="120"/>
      </w:pPr>
    </w:p>
    <w:p>
      <w:pPr>
        <w:pStyle w:val="Heading2"/>
        <w:spacing w:before="240" w:after="80"/>
        <w:jc w:val="right"/>
        <w:bidi w:val="1"/>
        <w:pBdr>
          <w:bottom w:val="single" w:sz="6" w:space="3" w:color="1B3A5F"/>
        </w:pBdr>
      </w:pPr>
      <w:r>
        <w:rPr>
          <w:rFonts w:ascii="Calibri" w:hAnsi="Calibri"/>
          <w:b/>
          <w:color w:val="1B3A5F"/>
          <w:sz w:val="30"/>
          <w:rtl w:val="1"/>
        </w:rPr>
        <w:t>4.3 أنواع أنظمة الذاكرة</w:t>
      </w:r>
    </w:p>
    <w:p>
      <w:pPr>
        <w:spacing w:after="60"/>
        <w:ind w:right="504"/>
        <w:jc w:val="right"/>
        <w:bidi w:val="1"/>
      </w:pPr>
      <w:r>
        <w:rPr>
          <w:rFonts w:ascii="Calibri" w:hAnsi="Calibri"/>
          <w:color w:val="1A202C"/>
          <w:sz w:val="22"/>
          <w:rtl w:val="1"/>
        </w:rPr>
        <w:t>الذاكرة قصيرة المدى (Short-term): السياق الحالي للحوار</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الذاكرة طويلة المدى (Long-term): قاعدة بيانات خارجية للتجارب السابقة</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الذاكرة العرضية (Episodic Memory): تذكر أحداث معينة وحوارات سابقة</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الذاكرة الدلالية (Semantic Memory): المعرفة العامة والحقائق</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الذاكرة الإجرائية (Procedural Memory): كيفية تنفيذ المهام</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4.4 أنماط Workflow للوكلاء</w:t>
      </w:r>
    </w:p>
    <w:p>
      <w:pPr>
        <w:spacing w:after="60"/>
        <w:ind w:right="504"/>
        <w:jc w:val="right"/>
        <w:bidi w:val="1"/>
      </w:pPr>
      <w:r>
        <w:rPr>
          <w:rFonts w:ascii="Calibri" w:hAnsi="Calibri"/>
          <w:color w:val="1A202C"/>
          <w:sz w:val="22"/>
          <w:rtl w:val="1"/>
        </w:rPr>
        <w:t>Prompt Chaining: تنفيذ خطوات متسلسلة — خرج الأولى مدخل الثانية</w:t>
      </w:r>
      <w:r>
        <w:rPr>
          <w:rFonts w:ascii="Calibri" w:hAnsi="Calibri"/>
          <w:color w:val="B8956B"/>
          <w:sz w:val="22"/>
        </w:rPr>
        <w:t xml:space="preserve">  •</w:t>
      </w:r>
    </w:p>
    <w:p>
      <w:pPr>
        <w:spacing w:after="60"/>
        <w:ind w:right="504"/>
        <w:jc w:val="right"/>
        <w:bidi w:val="1"/>
      </w:pPr>
      <w:r>
        <w:rPr>
          <w:rFonts w:ascii="Calibri" w:hAnsi="Calibri"/>
          <w:color w:val="1A202C"/>
          <w:sz w:val="22"/>
          <w:rtl w:val="1"/>
        </w:rPr>
        <w:t>Routing: تصنيف المدخل وتوجيهه إلى مسار متخصص</w:t>
      </w:r>
      <w:r>
        <w:rPr>
          <w:rFonts w:ascii="Calibri" w:hAnsi="Calibri"/>
          <w:color w:val="B8956B"/>
          <w:sz w:val="22"/>
        </w:rPr>
        <w:t xml:space="preserve">  •</w:t>
      </w:r>
    </w:p>
    <w:p>
      <w:pPr>
        <w:spacing w:after="60"/>
        <w:ind w:right="504"/>
        <w:jc w:val="right"/>
        <w:bidi w:val="1"/>
      </w:pPr>
      <w:r>
        <w:rPr>
          <w:rFonts w:ascii="Calibri" w:hAnsi="Calibri"/>
          <w:color w:val="1A202C"/>
          <w:sz w:val="22"/>
          <w:rtl w:val="1"/>
        </w:rPr>
        <w:t>Parallelization: تنفيذ مهام متزامنة ثم دمج النتائج</w:t>
      </w:r>
      <w:r>
        <w:rPr>
          <w:rFonts w:ascii="Calibri" w:hAnsi="Calibri"/>
          <w:color w:val="B8956B"/>
          <w:sz w:val="22"/>
        </w:rPr>
        <w:t xml:space="preserve">  •</w:t>
      </w:r>
    </w:p>
    <w:p>
      <w:pPr>
        <w:spacing w:after="60"/>
        <w:ind w:right="504"/>
        <w:jc w:val="right"/>
        <w:bidi w:val="1"/>
      </w:pPr>
      <w:r>
        <w:rPr>
          <w:rFonts w:ascii="Calibri" w:hAnsi="Calibri"/>
          <w:color w:val="1A202C"/>
          <w:sz w:val="22"/>
          <w:rtl w:val="1"/>
        </w:rPr>
        <w:t>Orchestrator-Workers: وكيل رئيسي يوزع المهام على وكلاء فرعيين</w:t>
      </w:r>
      <w:r>
        <w:rPr>
          <w:rFonts w:ascii="Calibri" w:hAnsi="Calibri"/>
          <w:color w:val="B8956B"/>
          <w:sz w:val="22"/>
        </w:rPr>
        <w:t xml:space="preserve">  •</w:t>
      </w:r>
    </w:p>
    <w:p>
      <w:pPr>
        <w:spacing w:after="60"/>
        <w:ind w:right="504"/>
        <w:jc w:val="right"/>
        <w:bidi w:val="1"/>
      </w:pPr>
      <w:r>
        <w:rPr>
          <w:rFonts w:ascii="Calibri" w:hAnsi="Calibri"/>
          <w:color w:val="1A202C"/>
          <w:sz w:val="22"/>
          <w:rtl w:val="1"/>
        </w:rPr>
        <w:t>Evaluator-Optimizer: حلقة تحسين مستمرة بين منشئ ومقيم</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FFFBEB"/>
            <w:tcBorders>
              <w:top w:val="single" w:sz="4" w:space="0" w:color="FFFBEB"/>
              <w:left w:val="single" w:sz="24" w:space="0" w:color="D97706"/>
              <w:bottom w:val="single" w:sz="4" w:space="0" w:color="FFFBEB"/>
              <w:right w:val="single" w:sz="4" w:space="0" w:color="FFFBEB"/>
            </w:tcBorders>
          </w:tcPr>
          <w:p>
            <w:pPr>
              <w:spacing w:before="120" w:after="120"/>
              <w:jc w:val="right"/>
              <w:bidi w:val="1"/>
            </w:pPr>
            <w:r>
              <w:rPr>
                <w:rFonts w:ascii="Calibri" w:hAnsi="Calibri"/>
                <w:b/>
                <w:color w:val="D97706"/>
                <w:sz w:val="18"/>
              </w:rPr>
              <w:t xml:space="preserve">WARNING  </w:t>
            </w:r>
            <w:r>
              <w:rPr>
                <w:rFonts w:ascii="Calibri" w:hAnsi="Calibri"/>
                <w:color w:val="1A202C"/>
                <w:sz w:val="20"/>
                <w:rtl w:val="1"/>
              </w:rPr>
              <w:t>هذا هو الفاصل الحقيقي بين مطور Prompt عادي ومهندس وكلاء محترف. فهم Agent Architecture يحدد قدرتك على بناء أنظمة إنتاجية.</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5. أطر العمل والتنسيق بين الوكلاء — Frameworks &amp; Multi-Agent Orchestration</w:t>
      </w:r>
    </w:p>
    <w:p>
      <w:pPr>
        <w:spacing w:after="160" w:line="276" w:lineRule="auto"/>
        <w:jc w:val="right"/>
        <w:bidi w:val="1"/>
      </w:pPr>
      <w:r>
        <w:rPr>
          <w:rFonts w:ascii="Calibri" w:hAnsi="Calibri"/>
          <w:color w:val="1A202C"/>
          <w:sz w:val="22"/>
          <w:rtl w:val="1"/>
        </w:rPr>
        <w:t>أطر العمل الحديثة توفر بنية تحتية جاهزة للوكلاء: إدارة السياق، الأدوات، تنسيق الوكلاء المتعددين، المراقبة، والتقييم.</w:t>
      </w:r>
    </w:p>
    <w:p>
      <w:pPr>
        <w:pStyle w:val="Heading2"/>
        <w:spacing w:before="240" w:after="80"/>
        <w:jc w:val="right"/>
        <w:bidi w:val="1"/>
        <w:pBdr>
          <w:bottom w:val="single" w:sz="6" w:space="3" w:color="1B3A5F"/>
        </w:pBdr>
      </w:pPr>
      <w:r>
        <w:rPr>
          <w:rFonts w:ascii="Calibri" w:hAnsi="Calibri"/>
          <w:b/>
          <w:color w:val="1B3A5F"/>
          <w:sz w:val="30"/>
          <w:rtl w:val="1"/>
        </w:rPr>
        <w:t>5.1 مقارنة أطر العمل الرئيسية في 2026</w:t>
      </w:r>
    </w:p>
    <w:p>
      <w:r>
        <w:drawing>
          <wp:inline xmlns:a="http://schemas.openxmlformats.org/drawingml/2006/main" xmlns:pic="http://schemas.openxmlformats.org/drawingml/2006/picture">
            <wp:extent cx="4752000" cy="3382780"/>
            <wp:docPr id="3" name="Picture 3"/>
            <wp:cNvGraphicFramePr>
              <a:graphicFrameLocks noChangeAspect="1"/>
            </wp:cNvGraphicFramePr>
            <a:graphic>
              <a:graphicData uri="http://schemas.openxmlformats.org/drawingml/2006/picture">
                <pic:pic>
                  <pic:nvPicPr>
                    <pic:cNvPr id="0" name="build_a_multi_agent_system_with_langgraph_and_mist.jpg"/>
                    <pic:cNvPicPr/>
                  </pic:nvPicPr>
                  <pic:blipFill>
                    <a:blip r:embed="rId14"/>
                    <a:stretch>
                      <a:fillRect/>
                    </a:stretch>
                  </pic:blipFill>
                  <pic:spPr>
                    <a:xfrm>
                      <a:off x="0" y="0"/>
                      <a:ext cx="4752000" cy="3382780"/>
                    </a:xfrm>
                    <a:prstGeom prst="rect"/>
                  </pic:spPr>
                </pic:pic>
              </a:graphicData>
            </a:graphic>
          </wp:inline>
        </w:drawing>
      </w:r>
    </w:p>
    <w:p>
      <w:pPr>
        <w:jc w:val="center"/>
      </w:pPr>
      <w:r>
        <w:rPr>
          <w:i/>
          <w:color w:val="595959"/>
          <w:sz w:val="18"/>
        </w:rPr>
        <w:t>شكل 3: بناء وكيل متعدد باستخدام LangGraph — Multi-Agent System with LangGraph</w:t>
      </w:r>
    </w:p>
    <w:tbl>
      <w:tblPr>
        <w:tblStyle w:val="TableGrid"/>
        <w:tblW w:type="auto" w:w="0"/>
        <w:tblLayout w:type="autofit"/>
        <w:tblLook w:firstColumn="1" w:firstRow="1" w:lastColumn="0" w:lastRow="0" w:noHBand="0" w:noVBand="1" w:val="04A0"/>
      </w:tblPr>
      <w:tblGrid>
        <w:gridCol w:w="2160"/>
        <w:gridCol w:w="2160"/>
        <w:gridCol w:w="2160"/>
        <w:gridCol w:w="2160"/>
      </w:tblGrid>
      <w:tr>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الإطار</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الاستخدام الأفضل</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نقاط القوة</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نقاط الضعف</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LangChain</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النماذج الأولية السريعة</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تعدد مقدمي النماذج، أدوات جاهزة</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المرونة تؤدي للتعقيد</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LangGraph</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الأنظمة المعقدة ذات الحالة</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State Machines، Human-in-the-Loop</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منحنى تعلم حاد</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CrewAI</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الأنظمة متعددة الوكلاء السريعة</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نموذج ذهني بديهي Roles-Tasks-Crew</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تحكم أقل من LangGraph</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AutoGen (Microsoft)</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التطبيقات الحوارية المتقدمة</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تنسيق المحادثات، Code Execution</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تعقيد في الأنظمة الكبيرة</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OpenAI Agents SDK</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التكامل مع OpenAI</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سهولة، توثيق ممتاز</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ارتباط بمزود واحد</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Google ADK</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بيئة Google Cloud</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تكامل مع Vertex AI, Gemini</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مقيد بـ GCP</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LlamaIndex</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التطبيقات كثيفة البيانات</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RAG متقدم، إدارة وثائق</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أقل نضجًا في الوكلاء</w:t>
            </w:r>
          </w:p>
        </w:tc>
      </w:tr>
    </w:tbl>
    <w:p>
      <w:pPr>
        <w:spacing w:after="120"/>
      </w:pPr>
    </w:p>
    <w:p>
      <w:pPr>
        <w:pStyle w:val="Heading2"/>
        <w:spacing w:before="240" w:after="80"/>
        <w:jc w:val="right"/>
        <w:bidi w:val="1"/>
        <w:pBdr>
          <w:bottom w:val="single" w:sz="6" w:space="3" w:color="1B3A5F"/>
        </w:pBdr>
      </w:pPr>
      <w:r>
        <w:rPr>
          <w:rFonts w:ascii="Calibri" w:hAnsi="Calibri"/>
          <w:b/>
          <w:color w:val="1B3A5F"/>
          <w:sz w:val="30"/>
          <w:rtl w:val="1"/>
        </w:rPr>
        <w:t>5.2 مفاهيم التنسيق المتقدم</w:t>
      </w:r>
    </w:p>
    <w:p>
      <w:pPr>
        <w:spacing w:after="60"/>
        <w:ind w:right="504"/>
        <w:jc w:val="right"/>
        <w:bidi w:val="1"/>
      </w:pPr>
      <w:r>
        <w:rPr>
          <w:rFonts w:ascii="Calibri" w:hAnsi="Calibri"/>
          <w:color w:val="1A202C"/>
          <w:sz w:val="22"/>
          <w:rtl w:val="1"/>
        </w:rPr>
        <w:t>Multi-Agent Systems: تنسيق وكلاء متعددين لأدوار مختلفة</w:t>
      </w:r>
      <w:r>
        <w:rPr>
          <w:rFonts w:ascii="Calibri" w:hAnsi="Calibri"/>
          <w:color w:val="B8956B"/>
          <w:sz w:val="22"/>
        </w:rPr>
        <w:t xml:space="preserve">  •</w:t>
      </w:r>
    </w:p>
    <w:p>
      <w:pPr>
        <w:spacing w:after="60"/>
        <w:ind w:right="504"/>
        <w:jc w:val="right"/>
        <w:bidi w:val="1"/>
      </w:pPr>
      <w:r>
        <w:rPr>
          <w:rFonts w:ascii="Calibri" w:hAnsi="Calibri"/>
          <w:color w:val="1A202C"/>
          <w:sz w:val="22"/>
          <w:rtl w:val="1"/>
        </w:rPr>
        <w:t>Supervisor/Orchestrator: وكيل مشرف يدير وكلاء متخصصين</w:t>
      </w:r>
      <w:r>
        <w:rPr>
          <w:rFonts w:ascii="Calibri" w:hAnsi="Calibri"/>
          <w:color w:val="B8956B"/>
          <w:sz w:val="22"/>
        </w:rPr>
        <w:t xml:space="preserve">  •</w:t>
      </w:r>
    </w:p>
    <w:p>
      <w:pPr>
        <w:spacing w:after="60"/>
        <w:ind w:right="504"/>
        <w:jc w:val="right"/>
        <w:bidi w:val="1"/>
      </w:pPr>
      <w:r>
        <w:rPr>
          <w:rFonts w:ascii="Calibri" w:hAnsi="Calibri"/>
          <w:color w:val="1A202C"/>
          <w:sz w:val="22"/>
          <w:rtl w:val="1"/>
        </w:rPr>
        <w:t>Debate and Consensus: وكلاء يناقشون ويتوصلون إلى إجماع</w:t>
      </w:r>
      <w:r>
        <w:rPr>
          <w:rFonts w:ascii="Calibri" w:hAnsi="Calibri"/>
          <w:color w:val="B8956B"/>
          <w:sz w:val="22"/>
        </w:rPr>
        <w:t xml:space="preserve">  •</w:t>
      </w:r>
    </w:p>
    <w:p>
      <w:pPr>
        <w:spacing w:after="60"/>
        <w:ind w:right="504"/>
        <w:jc w:val="right"/>
        <w:bidi w:val="1"/>
      </w:pPr>
      <w:r>
        <w:rPr>
          <w:rFonts w:ascii="Calibri" w:hAnsi="Calibri"/>
          <w:color w:val="1A202C"/>
          <w:sz w:val="22"/>
          <w:rtl w:val="1"/>
        </w:rPr>
        <w:t>Hierarchical Agents: هيكل هرمي للوكلاء بمستويات صلاحيات</w:t>
      </w:r>
      <w:r>
        <w:rPr>
          <w:rFonts w:ascii="Calibri" w:hAnsi="Calibri"/>
          <w:color w:val="B8956B"/>
          <w:sz w:val="22"/>
        </w:rPr>
        <w:t xml:space="preserve">  •</w:t>
      </w:r>
    </w:p>
    <w:p>
      <w:pPr>
        <w:spacing w:after="60"/>
        <w:ind w:right="504"/>
        <w:jc w:val="right"/>
        <w:bidi w:val="1"/>
      </w:pPr>
      <w:r>
        <w:rPr>
          <w:rFonts w:ascii="Calibri" w:hAnsi="Calibri"/>
          <w:color w:val="1A202C"/>
          <w:sz w:val="22"/>
          <w:rtl w:val="1"/>
        </w:rPr>
        <w:t>Checkpointing and State Persistence: حفظ حالة الوكيل لاستئناف العمل</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F7F5F0"/>
            <w:tcBorders>
              <w:top w:val="single" w:sz="4" w:space="0" w:color="F7F5F0"/>
              <w:left w:val="single" w:sz="24" w:space="0" w:color="B8956B"/>
              <w:bottom w:val="single" w:sz="4" w:space="0" w:color="F7F5F0"/>
              <w:right w:val="single" w:sz="4" w:space="0" w:color="F7F5F0"/>
            </w:tcBorders>
          </w:tcPr>
          <w:p>
            <w:pPr>
              <w:spacing w:before="120" w:after="120"/>
              <w:jc w:val="right"/>
              <w:bidi w:val="1"/>
            </w:pPr>
            <w:r>
              <w:rPr>
                <w:rFonts w:ascii="Calibri" w:hAnsi="Calibri"/>
                <w:b/>
                <w:color w:val="B8956B"/>
                <w:sz w:val="18"/>
              </w:rPr>
              <w:t xml:space="preserve">INFO  </w:t>
            </w:r>
            <w:r>
              <w:rPr>
                <w:rFonts w:ascii="Calibri" w:hAnsi="Calibri"/>
                <w:color w:val="1A202C"/>
                <w:sz w:val="20"/>
                <w:rtl w:val="1"/>
              </w:rPr>
              <w:t>اختيار الإطار المناسب يعتمد على: تعقيد المهمة، الحاجة إلى Human-in-the-Loop، البيئة التقنية للمؤسسة، وميزانية التشغيل.</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6. البروتوكولات وتكامل الأدوات — MCP, A2A and API Integration</w:t>
      </w:r>
    </w:p>
    <w:p>
      <w:pPr>
        <w:spacing w:after="160" w:line="276" w:lineRule="auto"/>
        <w:jc w:val="right"/>
        <w:bidi w:val="1"/>
      </w:pPr>
      <w:r>
        <w:rPr>
          <w:rFonts w:ascii="Calibri" w:hAnsi="Calibri"/>
          <w:color w:val="1A202C"/>
          <w:sz w:val="22"/>
          <w:rtl w:val="1"/>
        </w:rPr>
        <w:t>في 2026، أصبح MCP (Model Context Protocol) و A2A (Agent-to-Agent) هما المعياران الأساسيان لتوصيل الوكلاء بالعالم الخارجي.</w:t>
      </w:r>
    </w:p>
    <w:p>
      <w:pPr>
        <w:pStyle w:val="Heading2"/>
        <w:spacing w:before="240" w:after="80"/>
        <w:pBdr>
          <w:bottom w:val="single" w:sz="6" w:space="3" w:color="1B3A5F"/>
        </w:pBdr>
      </w:pPr>
      <w:r>
        <w:rPr>
          <w:rFonts w:ascii="Calibri" w:hAnsi="Calibri"/>
          <w:b/>
          <w:color w:val="1B3A5F"/>
          <w:sz w:val="30"/>
        </w:rPr>
        <w:t>6.1 Model Context Protocol (MCP)</w:t>
      </w:r>
    </w:p>
    <w:p>
      <w:pPr>
        <w:spacing w:after="160" w:line="276" w:lineRule="auto"/>
        <w:jc w:val="right"/>
        <w:bidi w:val="1"/>
      </w:pPr>
      <w:r>
        <w:rPr>
          <w:rFonts w:ascii="Calibri" w:hAnsi="Calibri"/>
          <w:color w:val="1A202C"/>
          <w:sz w:val="22"/>
          <w:rtl w:val="1"/>
        </w:rPr>
        <w:t>MCP هو بروتوكول مفتوح من Anthropic لتوحيد كيفية تواصل الوكلاء مع الأدوات ومصادر البيانات. يشبه USB-C للوكلاء — اتصال واحد موحد للجميع.</w:t>
      </w:r>
    </w:p>
    <w:p>
      <w:pPr>
        <w:spacing w:after="60"/>
        <w:ind w:right="504"/>
        <w:jc w:val="right"/>
        <w:bidi w:val="1"/>
      </w:pPr>
      <w:r>
        <w:rPr>
          <w:rFonts w:ascii="Calibri" w:hAnsi="Calibri"/>
          <w:color w:val="1A202C"/>
          <w:sz w:val="22"/>
          <w:rtl w:val="1"/>
        </w:rPr>
        <w:t>MCP Server: بناء سيرفرات تكشف أدوات ومصادر بيانات</w:t>
      </w:r>
      <w:r>
        <w:rPr>
          <w:rFonts w:ascii="Calibri" w:hAnsi="Calibri"/>
          <w:color w:val="B8956B"/>
          <w:sz w:val="22"/>
        </w:rPr>
        <w:t xml:space="preserve">  •</w:t>
      </w:r>
    </w:p>
    <w:p>
      <w:pPr>
        <w:spacing w:after="60"/>
        <w:ind w:right="504"/>
        <w:jc w:val="right"/>
        <w:bidi w:val="1"/>
      </w:pPr>
      <w:r>
        <w:rPr>
          <w:rFonts w:ascii="Calibri" w:hAnsi="Calibri"/>
          <w:color w:val="1A202C"/>
          <w:sz w:val="22"/>
          <w:rtl w:val="1"/>
        </w:rPr>
        <w:t>MCP Client: الاتصال بالسيرفرات من داخل الوكيل</w:t>
      </w:r>
      <w:r>
        <w:rPr>
          <w:rFonts w:ascii="Calibri" w:hAnsi="Calibri"/>
          <w:color w:val="B8956B"/>
          <w:sz w:val="22"/>
        </w:rPr>
        <w:t xml:space="preserve">  •</w:t>
      </w:r>
    </w:p>
    <w:p>
      <w:pPr>
        <w:spacing w:after="60"/>
        <w:ind w:right="504"/>
        <w:jc w:val="right"/>
        <w:bidi w:val="1"/>
      </w:pPr>
      <w:r>
        <w:rPr>
          <w:rFonts w:ascii="Calibri" w:hAnsi="Calibri"/>
          <w:color w:val="1A202C"/>
          <w:sz w:val="22"/>
          <w:rtl w:val="1"/>
        </w:rPr>
        <w:t>Stdio Transport: للتطبيقات المحلية والنصوص</w:t>
      </w:r>
      <w:r>
        <w:rPr>
          <w:rFonts w:ascii="Calibri" w:hAnsi="Calibri"/>
          <w:color w:val="B8956B"/>
          <w:sz w:val="22"/>
        </w:rPr>
        <w:t xml:space="preserve">  •</w:t>
      </w:r>
    </w:p>
    <w:p>
      <w:pPr>
        <w:spacing w:after="60"/>
        <w:ind w:right="504"/>
        <w:jc w:val="right"/>
        <w:bidi w:val="1"/>
      </w:pPr>
      <w:r>
        <w:rPr>
          <w:rFonts w:ascii="Calibri" w:hAnsi="Calibri"/>
          <w:color w:val="1A202C"/>
          <w:sz w:val="22"/>
          <w:rtl w:val="1"/>
        </w:rPr>
        <w:t>SSE/HTTP Transport: للاتصالات عن بعد والسحابية</w:t>
      </w:r>
      <w:r>
        <w:rPr>
          <w:rFonts w:ascii="Calibri" w:hAnsi="Calibri"/>
          <w:color w:val="B8956B"/>
          <w:sz w:val="22"/>
        </w:rPr>
        <w:t xml:space="preserve">  •</w:t>
      </w:r>
    </w:p>
    <w:p>
      <w:pPr>
        <w:spacing w:after="60"/>
        <w:ind w:right="504"/>
        <w:jc w:val="right"/>
        <w:bidi w:val="1"/>
      </w:pPr>
      <w:r>
        <w:rPr>
          <w:rFonts w:ascii="Calibri" w:hAnsi="Calibri"/>
          <w:color w:val="1A202C"/>
          <w:sz w:val="22"/>
          <w:rtl w:val="1"/>
        </w:rPr>
        <w:t>MCP Security: التحقق من الهوية، الصلاحيات، حماية المدخلات</w:t>
      </w:r>
      <w:r>
        <w:rPr>
          <w:rFonts w:ascii="Calibri" w:hAnsi="Calibri"/>
          <w:color w:val="B8956B"/>
          <w:sz w:val="22"/>
        </w:rPr>
        <w:t xml:space="preserve">  •</w:t>
      </w:r>
    </w:p>
    <w:p>
      <w:pPr>
        <w:pStyle w:val="Heading2"/>
        <w:spacing w:before="240" w:after="80"/>
        <w:pBdr>
          <w:bottom w:val="single" w:sz="6" w:space="3" w:color="1B3A5F"/>
        </w:pBdr>
      </w:pPr>
      <w:r>
        <w:rPr>
          <w:rFonts w:ascii="Calibri" w:hAnsi="Calibri"/>
          <w:b/>
          <w:color w:val="1B3A5F"/>
          <w:sz w:val="30"/>
        </w:rPr>
        <w:t>6.2 Agent-to-Agent Protocol (A2A)</w:t>
      </w:r>
    </w:p>
    <w:p>
      <w:pPr>
        <w:spacing w:after="160" w:line="276" w:lineRule="auto"/>
        <w:jc w:val="right"/>
        <w:bidi w:val="1"/>
      </w:pPr>
      <w:r>
        <w:rPr>
          <w:rFonts w:ascii="Calibri" w:hAnsi="Calibri"/>
          <w:color w:val="1A202C"/>
          <w:sz w:val="22"/>
          <w:rtl w:val="1"/>
        </w:rPr>
        <w:t>بروتوكول من Google يتيح للوكلاء من مزودين مختلفين التواصل مع بعضهم البعض مباشرة — بدون وسيط مركزي. يفتح آفاقًا جديدة للأنظمة الموزعة.</w:t>
      </w:r>
    </w:p>
    <w:p>
      <w:pPr>
        <w:pStyle w:val="Heading2"/>
        <w:spacing w:before="240" w:after="80"/>
        <w:jc w:val="right"/>
        <w:bidi w:val="1"/>
        <w:pBdr>
          <w:bottom w:val="single" w:sz="6" w:space="3" w:color="1B3A5F"/>
        </w:pBdr>
      </w:pPr>
      <w:r>
        <w:rPr>
          <w:rFonts w:ascii="Calibri" w:hAnsi="Calibri"/>
          <w:b/>
          <w:color w:val="1B3A5F"/>
          <w:sz w:val="30"/>
          <w:rtl w:val="1"/>
        </w:rPr>
        <w:t>6.3 أدوات التكامل الأخرى</w:t>
      </w:r>
    </w:p>
    <w:p>
      <w:pPr>
        <w:spacing w:after="60"/>
        <w:ind w:right="504"/>
        <w:jc w:val="right"/>
        <w:bidi w:val="1"/>
      </w:pPr>
      <w:r>
        <w:rPr>
          <w:rFonts w:ascii="Calibri" w:hAnsi="Calibri"/>
          <w:color w:val="1A202C"/>
          <w:sz w:val="22"/>
          <w:rtl w:val="1"/>
        </w:rPr>
        <w:t>Agent Communication Protocol (ACP): بروتوكول التواصل بين الوكلاء من Anthropic</w:t>
      </w:r>
      <w:r>
        <w:rPr>
          <w:rFonts w:ascii="Calibri" w:hAnsi="Calibri"/>
          <w:color w:val="B8956B"/>
          <w:sz w:val="22"/>
        </w:rPr>
        <w:t xml:space="preserve">  •</w:t>
      </w:r>
    </w:p>
    <w:p>
      <w:pPr>
        <w:spacing w:after="60"/>
        <w:ind w:right="504"/>
        <w:jc w:val="right"/>
        <w:bidi w:val="1"/>
      </w:pPr>
      <w:r>
        <w:rPr>
          <w:rFonts w:ascii="Calibri" w:hAnsi="Calibri"/>
          <w:color w:val="1A202C"/>
          <w:sz w:val="22"/>
          <w:rtl w:val="1"/>
        </w:rPr>
        <w:t>Webhooks and WebSocket: اتصال فوري بين الأنظمة</w:t>
      </w:r>
      <w:r>
        <w:rPr>
          <w:rFonts w:ascii="Calibri" w:hAnsi="Calibri"/>
          <w:color w:val="B8956B"/>
          <w:sz w:val="22"/>
        </w:rPr>
        <w:t xml:space="preserve">  •</w:t>
      </w:r>
    </w:p>
    <w:p>
      <w:pPr>
        <w:spacing w:after="60"/>
        <w:ind w:right="504"/>
        <w:jc w:val="right"/>
        <w:bidi w:val="1"/>
      </w:pPr>
      <w:r>
        <w:rPr>
          <w:rFonts w:ascii="Calibri" w:hAnsi="Calibri"/>
          <w:color w:val="1A202C"/>
          <w:sz w:val="22"/>
          <w:rtl w:val="1"/>
        </w:rPr>
        <w:t>API Gateway: إدارة وتقييد الوصول إلى APIs</w:t>
      </w:r>
      <w:r>
        <w:rPr>
          <w:rFonts w:ascii="Calibri" w:hAnsi="Calibri"/>
          <w:color w:val="B8956B"/>
          <w:sz w:val="22"/>
        </w:rPr>
        <w:t xml:space="preserve">  •</w:t>
      </w:r>
    </w:p>
    <w:p>
      <w:pPr>
        <w:spacing w:after="60"/>
        <w:ind w:right="504"/>
        <w:jc w:val="right"/>
        <w:bidi w:val="1"/>
      </w:pPr>
      <w:r>
        <w:rPr>
          <w:rFonts w:ascii="Calibri" w:hAnsi="Calibri"/>
          <w:color w:val="1A202C"/>
          <w:sz w:val="22"/>
          <w:rtl w:val="1"/>
        </w:rPr>
        <w:t>Tool Registry: سجل مركزي للأدوات المتاحة للوكيل</w:t>
      </w:r>
      <w:r>
        <w:rPr>
          <w:rFonts w:ascii="Calibri" w:hAnsi="Calibri"/>
          <w:color w:val="B8956B"/>
          <w:sz w:val="22"/>
        </w:rPr>
        <w:t xml:space="preserve">  •</w:t>
      </w: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7. الإنتاج والنشر والمراقبة — Production, Deployment and LLMOps</w:t>
      </w:r>
    </w:p>
    <w:p>
      <w:pPr>
        <w:spacing w:after="160" w:line="276" w:lineRule="auto"/>
        <w:jc w:val="right"/>
        <w:bidi w:val="1"/>
      </w:pPr>
      <w:r>
        <w:rPr>
          <w:rFonts w:ascii="Calibri" w:hAnsi="Calibri"/>
          <w:color w:val="1A202C"/>
          <w:sz w:val="22"/>
          <w:rtl w:val="1"/>
        </w:rPr>
        <w:t>بناء وكيل في بيئة تطوير شيء ونشره في الإنتاج شيء آخر تمامًا. هذه المهارات تميز المهندس المحترف.</w:t>
      </w:r>
    </w:p>
    <w:p>
      <w:pPr>
        <w:pStyle w:val="Heading2"/>
        <w:spacing w:before="240" w:after="80"/>
        <w:jc w:val="right"/>
        <w:bidi w:val="1"/>
        <w:pBdr>
          <w:bottom w:val="single" w:sz="6" w:space="3" w:color="1B3A5F"/>
        </w:pBdr>
      </w:pPr>
      <w:r>
        <w:rPr>
          <w:rFonts w:ascii="Calibri" w:hAnsi="Calibri"/>
          <w:b/>
          <w:color w:val="1B3A5F"/>
          <w:sz w:val="30"/>
          <w:rtl w:val="1"/>
        </w:rPr>
        <w:t>7.1 النشر والتشغيل</w:t>
      </w:r>
    </w:p>
    <w:p>
      <w:r>
        <w:drawing>
          <wp:inline xmlns:a="http://schemas.openxmlformats.org/drawingml/2006/main" xmlns:pic="http://schemas.openxmlformats.org/drawingml/2006/picture">
            <wp:extent cx="4752000" cy="2674045"/>
            <wp:docPr id="4" name="Picture 4"/>
            <wp:cNvGraphicFramePr>
              <a:graphicFrameLocks noChangeAspect="1"/>
            </wp:cNvGraphicFramePr>
            <a:graphic>
              <a:graphicData uri="http://schemas.openxmlformats.org/drawingml/2006/picture">
                <pic:pic>
                  <pic:nvPicPr>
                    <pic:cNvPr id="0" name="3_ways_to_responsibly_manage_multi_agent_systems_s.png"/>
                    <pic:cNvPicPr/>
                  </pic:nvPicPr>
                  <pic:blipFill>
                    <a:blip r:embed="rId15"/>
                    <a:stretch>
                      <a:fillRect/>
                    </a:stretch>
                  </pic:blipFill>
                  <pic:spPr>
                    <a:xfrm>
                      <a:off x="0" y="0"/>
                      <a:ext cx="4752000" cy="2674045"/>
                    </a:xfrm>
                    <a:prstGeom prst="rect"/>
                  </pic:spPr>
                </pic:pic>
              </a:graphicData>
            </a:graphic>
          </wp:inline>
        </w:drawing>
      </w:r>
    </w:p>
    <w:p>
      <w:pPr>
        <w:jc w:val="center"/>
      </w:pPr>
      <w:r>
        <w:rPr>
          <w:i/>
          <w:color w:val="595959"/>
          <w:sz w:val="18"/>
        </w:rPr>
        <w:t>شكل 4: إدارة مسؤولة للأنظمة متعددة الوكلاء — Responsible Multi-Agent Systems Management</w:t>
      </w:r>
    </w:p>
    <w:p>
      <w:pPr>
        <w:spacing w:after="60"/>
        <w:ind w:right="504"/>
        <w:jc w:val="right"/>
        <w:bidi w:val="1"/>
      </w:pPr>
      <w:r>
        <w:rPr>
          <w:rFonts w:ascii="Calibri" w:hAnsi="Calibri"/>
          <w:color w:val="1A202C"/>
          <w:sz w:val="22"/>
          <w:rtl w:val="1"/>
        </w:rPr>
        <w:t>FastAPI: بناء APIs لتشغيل الوكلاء</w:t>
      </w:r>
      <w:r>
        <w:rPr>
          <w:rFonts w:ascii="Calibri" w:hAnsi="Calibri"/>
          <w:color w:val="B8956B"/>
          <w:sz w:val="22"/>
        </w:rPr>
        <w:t xml:space="preserve">  •</w:t>
      </w:r>
    </w:p>
    <w:p>
      <w:pPr>
        <w:spacing w:after="60"/>
        <w:ind w:right="504"/>
        <w:jc w:val="right"/>
        <w:bidi w:val="1"/>
      </w:pPr>
      <w:r>
        <w:rPr>
          <w:rFonts w:ascii="Calibri" w:hAnsi="Calibri"/>
          <w:color w:val="1A202C"/>
          <w:sz w:val="22"/>
          <w:rtl w:val="1"/>
        </w:rPr>
        <w:t>Docker: حزم وتوزيع الوكيل كحاوية</w:t>
      </w:r>
      <w:r>
        <w:rPr>
          <w:rFonts w:ascii="Calibri" w:hAnsi="Calibri"/>
          <w:color w:val="B8956B"/>
          <w:sz w:val="22"/>
        </w:rPr>
        <w:t xml:space="preserve">  •</w:t>
      </w:r>
    </w:p>
    <w:p>
      <w:pPr>
        <w:spacing w:after="60"/>
        <w:ind w:right="504"/>
        <w:jc w:val="right"/>
        <w:bidi w:val="1"/>
      </w:pPr>
      <w:r>
        <w:rPr>
          <w:rFonts w:ascii="Calibri" w:hAnsi="Calibri"/>
          <w:color w:val="1A202C"/>
          <w:sz w:val="22"/>
          <w:rtl w:val="1"/>
        </w:rPr>
        <w:t>Cloud Deployment: AWS, Azure, GCP, أو الخوادم المحلية</w:t>
      </w:r>
      <w:r>
        <w:rPr>
          <w:rFonts w:ascii="Calibri" w:hAnsi="Calibri"/>
          <w:color w:val="B8956B"/>
          <w:sz w:val="22"/>
        </w:rPr>
        <w:t xml:space="preserve">  •</w:t>
      </w:r>
    </w:p>
    <w:p>
      <w:pPr>
        <w:spacing w:after="60"/>
        <w:ind w:right="504"/>
        <w:jc w:val="right"/>
        <w:bidi w:val="1"/>
      </w:pPr>
      <w:r>
        <w:rPr>
          <w:rFonts w:ascii="Calibri" w:hAnsi="Calibri"/>
          <w:color w:val="1A202C"/>
          <w:sz w:val="22"/>
          <w:rtl w:val="1"/>
        </w:rPr>
        <w:t>Serverless: نشر بتكلفة منخفضة (AWS Lambda, Cloudflare Workers)</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7.2 المراقبة والتقييم (Observability and Evaluation)</w:t>
      </w:r>
    </w:p>
    <w:tbl>
      <w:tblPr>
        <w:tblStyle w:val="TableGrid"/>
        <w:tblW w:type="auto" w:w="0"/>
        <w:tblLayout w:type="autofit"/>
        <w:tblLook w:firstColumn="1" w:firstRow="1" w:lastColumn="0" w:lastRow="0" w:noHBand="0" w:noVBand="1" w:val="04A0"/>
      </w:tblPr>
      <w:tblGrid>
        <w:gridCol w:w="2880"/>
        <w:gridCol w:w="2880"/>
        <w:gridCol w:w="2880"/>
      </w:tblGrid>
      <w:tr>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الأداة والتقنية</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الغرض</w:t>
            </w:r>
          </w:p>
        </w:tc>
        <w:tc>
          <w:tcPr>
            <w:tcW w:type="dxa" w:w="288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الاستخدام</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LangSmith</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مراقبة وتتبع خطوات الوكيل</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تصحيح الأخطاء، تحليل الأداء</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Tracing and Logging</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تسجيل كل خطوة من خطوات الوكيل</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فهم سلوك الوكيل وتحسينه</w:t>
            </w:r>
          </w:p>
        </w:tc>
      </w:tr>
      <w:tr>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Automated Evaluation</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اختبار الوكيل ضد معايير محددة</w:t>
            </w:r>
          </w:p>
        </w:tc>
        <w:tc>
          <w:tcPr>
            <w:tcW w:type="dxa" w:w="288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ضمان الجودة قبل النشر</w:t>
            </w:r>
          </w:p>
        </w:tc>
      </w:tr>
      <w:tr>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Prompt Monitoring</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مراقبة جودة الأوامر بمرور الوقت</w:t>
            </w:r>
          </w:p>
        </w:tc>
        <w:tc>
          <w:tcPr>
            <w:tcW w:type="dxa" w:w="288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اكتشاف تدهور الأداء</w:t>
            </w:r>
          </w:p>
        </w:tc>
      </w:tr>
    </w:tbl>
    <w:p>
      <w:pPr>
        <w:spacing w:after="120"/>
      </w:pPr>
    </w:p>
    <w:p>
      <w:pPr>
        <w:pStyle w:val="Heading2"/>
        <w:spacing w:before="240" w:after="80"/>
        <w:jc w:val="right"/>
        <w:bidi w:val="1"/>
        <w:pBdr>
          <w:bottom w:val="single" w:sz="6" w:space="3" w:color="1B3A5F"/>
        </w:pBdr>
      </w:pPr>
      <w:r>
        <w:rPr>
          <w:rFonts w:ascii="Calibri" w:hAnsi="Calibri"/>
          <w:b/>
          <w:color w:val="1B3A5F"/>
          <w:sz w:val="30"/>
          <w:rtl w:val="1"/>
        </w:rPr>
        <w:t>7.3 الأمان والسلامة</w:t>
      </w:r>
    </w:p>
    <w:p>
      <w:pPr>
        <w:spacing w:after="60"/>
        <w:ind w:right="504"/>
        <w:jc w:val="right"/>
        <w:bidi w:val="1"/>
      </w:pPr>
      <w:r>
        <w:rPr>
          <w:rFonts w:ascii="Calibri" w:hAnsi="Calibri"/>
          <w:color w:val="1A202C"/>
          <w:sz w:val="22"/>
          <w:rtl w:val="1"/>
        </w:rPr>
        <w:t>Prompt Injection Defense: منع اختراق تعليمات النظام</w:t>
      </w:r>
      <w:r>
        <w:rPr>
          <w:rFonts w:ascii="Calibri" w:hAnsi="Calibri"/>
          <w:color w:val="B8956B"/>
          <w:sz w:val="22"/>
        </w:rPr>
        <w:t xml:space="preserve">  •</w:t>
      </w:r>
    </w:p>
    <w:p>
      <w:pPr>
        <w:spacing w:after="60"/>
        <w:ind w:right="504"/>
        <w:jc w:val="right"/>
        <w:bidi w:val="1"/>
      </w:pPr>
      <w:r>
        <w:rPr>
          <w:rFonts w:ascii="Calibri" w:hAnsi="Calibri"/>
          <w:color w:val="1A202C"/>
          <w:sz w:val="22"/>
          <w:rtl w:val="1"/>
        </w:rPr>
        <w:t>Input/Output Guardrails: فلاتر إدخال وإخراج</w:t>
      </w:r>
      <w:r>
        <w:rPr>
          <w:rFonts w:ascii="Calibri" w:hAnsi="Calibri"/>
          <w:color w:val="B8956B"/>
          <w:sz w:val="22"/>
        </w:rPr>
        <w:t xml:space="preserve">  •</w:t>
      </w:r>
    </w:p>
    <w:p>
      <w:pPr>
        <w:spacing w:after="60"/>
        <w:ind w:right="504"/>
        <w:jc w:val="right"/>
        <w:bidi w:val="1"/>
      </w:pPr>
      <w:r>
        <w:rPr>
          <w:rFonts w:ascii="Calibri" w:hAnsi="Calibri"/>
          <w:color w:val="1A202C"/>
          <w:sz w:val="22"/>
          <w:rtl w:val="1"/>
        </w:rPr>
        <w:t>Sandboxed Execution: تشغيل الكود في بيئة معزولة</w:t>
      </w:r>
      <w:r>
        <w:rPr>
          <w:rFonts w:ascii="Calibri" w:hAnsi="Calibri"/>
          <w:color w:val="B8956B"/>
          <w:sz w:val="22"/>
        </w:rPr>
        <w:t xml:space="preserve">  •</w:t>
      </w:r>
    </w:p>
    <w:p>
      <w:pPr>
        <w:spacing w:after="60"/>
        <w:ind w:right="504"/>
        <w:jc w:val="right"/>
        <w:bidi w:val="1"/>
      </w:pPr>
      <w:r>
        <w:rPr>
          <w:rFonts w:ascii="Calibri" w:hAnsi="Calibri"/>
          <w:color w:val="1A202C"/>
          <w:sz w:val="22"/>
          <w:rtl w:val="1"/>
        </w:rPr>
        <w:t>Rate Limiting and Budget Controls: منع الاستخدام المفرط</w:t>
      </w:r>
      <w:r>
        <w:rPr>
          <w:rFonts w:ascii="Calibri" w:hAnsi="Calibri"/>
          <w:color w:val="B8956B"/>
          <w:sz w:val="22"/>
        </w:rPr>
        <w:t xml:space="preserve">  •</w:t>
      </w:r>
    </w:p>
    <w:p>
      <w:pPr>
        <w:spacing w:after="60"/>
        <w:ind w:right="504"/>
        <w:jc w:val="right"/>
        <w:bidi w:val="1"/>
      </w:pPr>
      <w:r>
        <w:rPr>
          <w:rFonts w:ascii="Calibri" w:hAnsi="Calibri"/>
          <w:color w:val="1A202C"/>
          <w:sz w:val="22"/>
          <w:rtl w:val="1"/>
        </w:rPr>
        <w:t>Data Privacy: ضمان عدم تسرب البيانات</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FFFBEB"/>
            <w:tcBorders>
              <w:top w:val="single" w:sz="4" w:space="0" w:color="FFFBEB"/>
              <w:left w:val="single" w:sz="24" w:space="0" w:color="D97706"/>
              <w:bottom w:val="single" w:sz="4" w:space="0" w:color="FFFBEB"/>
              <w:right w:val="single" w:sz="4" w:space="0" w:color="FFFBEB"/>
            </w:tcBorders>
          </w:tcPr>
          <w:p>
            <w:pPr>
              <w:spacing w:before="120" w:after="120"/>
              <w:jc w:val="right"/>
              <w:bidi w:val="1"/>
            </w:pPr>
            <w:r>
              <w:rPr>
                <w:rFonts w:ascii="Calibri" w:hAnsi="Calibri"/>
                <w:b/>
                <w:color w:val="D97706"/>
                <w:sz w:val="18"/>
              </w:rPr>
              <w:t xml:space="preserve">WARNING  </w:t>
            </w:r>
            <w:r>
              <w:rPr>
                <w:rFonts w:ascii="Calibri" w:hAnsi="Calibri"/>
                <w:color w:val="1A202C"/>
                <w:sz w:val="20"/>
                <w:rtl w:val="1"/>
              </w:rPr>
              <w:t>الأمان في الوكلاء الذكيين ليس ميزة إضافية — إنه شرط أساسي للنشر الإنتاجي. 70% من فشل مشاريع الوكلاء يعود لقلة الاهتمام بالأمان والمراقبة.</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8. خريطة الطريق المقترحة — Suggested Learning Roadmap</w:t>
      </w:r>
    </w:p>
    <w:p>
      <w:pPr>
        <w:spacing w:after="160" w:line="276" w:lineRule="auto"/>
        <w:jc w:val="right"/>
        <w:bidi w:val="1"/>
      </w:pPr>
      <w:r>
        <w:rPr>
          <w:rFonts w:ascii="Calibri" w:hAnsi="Calibri"/>
          <w:color w:val="1A202C"/>
          <w:sz w:val="22"/>
          <w:rtl w:val="1"/>
        </w:rPr>
        <w:t>هذه خريطة طريق متدرجة تأخذك من الصفر إلى الإتقان، بناءً على خبرتك الحالية في التقنية والذكاء الاصطناعي.</w:t>
      </w:r>
    </w:p>
    <w:p>
      <w:pPr>
        <w:pStyle w:val="Heading2"/>
        <w:spacing w:before="240" w:after="80"/>
        <w:jc w:val="right"/>
        <w:bidi w:val="1"/>
        <w:pBdr>
          <w:bottom w:val="single" w:sz="6" w:space="3" w:color="1B3A5F"/>
        </w:pBdr>
      </w:pPr>
      <w:r>
        <w:rPr>
          <w:rFonts w:ascii="Calibri" w:hAnsi="Calibri"/>
          <w:b/>
          <w:color w:val="1B3A5F"/>
          <w:sz w:val="30"/>
          <w:rtl w:val="1"/>
        </w:rPr>
        <w:t>المرحلة الأولى: الأساسيات (2-4 أسابيع)</w:t>
      </w:r>
    </w:p>
    <w:p>
      <w:pPr>
        <w:spacing w:after="60"/>
        <w:ind w:right="504"/>
        <w:jc w:val="right"/>
        <w:bidi w:val="1"/>
      </w:pPr>
      <w:r>
        <w:rPr>
          <w:rFonts w:ascii="Calibri" w:hAnsi="Calibri"/>
          <w:color w:val="1A202C"/>
          <w:sz w:val="22"/>
          <w:rtl w:val="1"/>
        </w:rPr>
        <w:t>تطوير بايثون متقدم: Async/Await, Classes, API Calls</w:t>
      </w:r>
      <w:r>
        <w:rPr>
          <w:rFonts w:ascii="Calibri" w:hAnsi="Calibri"/>
          <w:color w:val="B8956B"/>
          <w:sz w:val="22"/>
        </w:rPr>
        <w:t xml:space="preserve">  •</w:t>
      </w:r>
    </w:p>
    <w:p>
      <w:pPr>
        <w:spacing w:after="60"/>
        <w:ind w:right="504"/>
        <w:jc w:val="right"/>
        <w:bidi w:val="1"/>
      </w:pPr>
      <w:r>
        <w:rPr>
          <w:rFonts w:ascii="Calibri" w:hAnsi="Calibri"/>
          <w:color w:val="1A202C"/>
          <w:sz w:val="22"/>
          <w:rtl w:val="1"/>
        </w:rPr>
        <w:t>أساسيات LLMs و API Calls</w:t>
      </w:r>
      <w:r>
        <w:rPr>
          <w:rFonts w:ascii="Calibri" w:hAnsi="Calibri"/>
          <w:color w:val="B8956B"/>
          <w:sz w:val="22"/>
        </w:rPr>
        <w:t xml:space="preserve">  •</w:t>
      </w:r>
    </w:p>
    <w:p>
      <w:pPr>
        <w:spacing w:after="60"/>
        <w:ind w:right="504"/>
        <w:jc w:val="right"/>
        <w:bidi w:val="1"/>
      </w:pPr>
      <w:r>
        <w:rPr>
          <w:rFonts w:ascii="Calibri" w:hAnsi="Calibri"/>
          <w:color w:val="1A202C"/>
          <w:sz w:val="22"/>
          <w:rtl w:val="1"/>
        </w:rPr>
        <w:t>Function Calling — جوهر الوكلاء</w:t>
      </w:r>
      <w:r>
        <w:rPr>
          <w:rFonts w:ascii="Calibri" w:hAnsi="Calibri"/>
          <w:color w:val="B8956B"/>
          <w:sz w:val="22"/>
        </w:rPr>
        <w:t xml:space="preserve">  •</w:t>
      </w:r>
    </w:p>
    <w:p>
      <w:pPr>
        <w:spacing w:after="60"/>
        <w:ind w:right="504"/>
        <w:jc w:val="right"/>
        <w:bidi w:val="1"/>
      </w:pPr>
      <w:r>
        <w:rPr>
          <w:rFonts w:ascii="Calibri" w:hAnsi="Calibri"/>
          <w:color w:val="1A202C"/>
          <w:sz w:val="22"/>
          <w:rtl w:val="1"/>
        </w:rPr>
        <w:t>مشروع: بناء وكيل بسيط يستقبل الأوامر عبر API</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المرحلة الثانية: الاسترجاع والمعرفة (3-5 أسابيع)</w:t>
      </w:r>
    </w:p>
    <w:p>
      <w:pPr>
        <w:spacing w:after="60"/>
        <w:ind w:right="504"/>
        <w:jc w:val="right"/>
        <w:bidi w:val="1"/>
      </w:pPr>
      <w:r>
        <w:rPr>
          <w:rFonts w:ascii="Calibri" w:hAnsi="Calibri"/>
          <w:color w:val="1A202C"/>
          <w:sz w:val="22"/>
          <w:rtl w:val="1"/>
        </w:rPr>
        <w:t>RAG Full Stack: Chunking إلى Embeddings إلى Vector DB إلى Retrieval</w:t>
      </w:r>
      <w:r>
        <w:rPr>
          <w:rFonts w:ascii="Calibri" w:hAnsi="Calibri"/>
          <w:color w:val="B8956B"/>
          <w:sz w:val="22"/>
        </w:rPr>
        <w:t xml:space="preserve">  •</w:t>
      </w:r>
    </w:p>
    <w:p>
      <w:pPr>
        <w:spacing w:after="60"/>
        <w:ind w:right="504"/>
        <w:jc w:val="right"/>
        <w:bidi w:val="1"/>
      </w:pPr>
      <w:r>
        <w:rPr>
          <w:rFonts w:ascii="Calibri" w:hAnsi="Calibri"/>
          <w:color w:val="1A202C"/>
          <w:sz w:val="22"/>
          <w:rtl w:val="1"/>
        </w:rPr>
        <w:t>تقنيات التقطيع المتقدمة والتضمين</w:t>
      </w:r>
      <w:r>
        <w:rPr>
          <w:rFonts w:ascii="Calibri" w:hAnsi="Calibri"/>
          <w:color w:val="B8956B"/>
          <w:sz w:val="22"/>
        </w:rPr>
        <w:t xml:space="preserve">  •</w:t>
      </w:r>
    </w:p>
    <w:p>
      <w:pPr>
        <w:spacing w:after="60"/>
        <w:ind w:right="504"/>
        <w:jc w:val="right"/>
        <w:bidi w:val="1"/>
      </w:pPr>
      <w:r>
        <w:rPr>
          <w:rFonts w:ascii="Calibri" w:hAnsi="Calibri"/>
          <w:color w:val="1A202C"/>
          <w:sz w:val="22"/>
          <w:rtl w:val="1"/>
        </w:rPr>
        <w:t>RAG مع تحسين الدقة: Re-Ranking, Hybrid Search</w:t>
      </w:r>
      <w:r>
        <w:rPr>
          <w:rFonts w:ascii="Calibri" w:hAnsi="Calibri"/>
          <w:color w:val="B8956B"/>
          <w:sz w:val="22"/>
        </w:rPr>
        <w:t xml:space="preserve">  •</w:t>
      </w:r>
    </w:p>
    <w:p>
      <w:pPr>
        <w:spacing w:after="60"/>
        <w:ind w:right="504"/>
        <w:jc w:val="right"/>
        <w:bidi w:val="1"/>
      </w:pPr>
      <w:r>
        <w:rPr>
          <w:rFonts w:ascii="Calibri" w:hAnsi="Calibri"/>
          <w:color w:val="1A202C"/>
          <w:sz w:val="22"/>
          <w:rtl w:val="1"/>
        </w:rPr>
        <w:t>مشروع: نظام RAG على وثائق مؤسستك</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المرحلة الثالثة: تصميم الوكلاء (4-6 أسابيع)</w:t>
      </w:r>
    </w:p>
    <w:p>
      <w:pPr>
        <w:spacing w:after="60"/>
        <w:ind w:right="504"/>
        <w:jc w:val="right"/>
        <w:bidi w:val="1"/>
      </w:pPr>
      <w:r>
        <w:rPr>
          <w:rFonts w:ascii="Calibri" w:hAnsi="Calibri"/>
          <w:color w:val="1A202C"/>
          <w:sz w:val="22"/>
          <w:rtl w:val="1"/>
        </w:rPr>
        <w:t>بناء Agent Loop من الصفر (60 سطر كود)</w:t>
      </w:r>
      <w:r>
        <w:rPr>
          <w:rFonts w:ascii="Calibri" w:hAnsi="Calibri"/>
          <w:color w:val="B8956B"/>
          <w:sz w:val="22"/>
        </w:rPr>
        <w:t xml:space="preserve">  •</w:t>
      </w:r>
    </w:p>
    <w:p>
      <w:pPr>
        <w:spacing w:after="60"/>
        <w:ind w:right="504"/>
        <w:jc w:val="right"/>
        <w:bidi w:val="1"/>
      </w:pPr>
      <w:r>
        <w:rPr>
          <w:rFonts w:ascii="Calibri" w:hAnsi="Calibri"/>
          <w:color w:val="1A202C"/>
          <w:sz w:val="22"/>
          <w:rtl w:val="1"/>
        </w:rPr>
        <w:t>تكامل الأدوات والذاكرة</w:t>
      </w:r>
      <w:r>
        <w:rPr>
          <w:rFonts w:ascii="Calibri" w:hAnsi="Calibri"/>
          <w:color w:val="B8956B"/>
          <w:sz w:val="22"/>
        </w:rPr>
        <w:t xml:space="preserve">  •</w:t>
      </w:r>
    </w:p>
    <w:p>
      <w:pPr>
        <w:spacing w:after="60"/>
        <w:ind w:right="504"/>
        <w:jc w:val="right"/>
        <w:bidi w:val="1"/>
      </w:pPr>
      <w:r>
        <w:rPr>
          <w:rFonts w:ascii="Calibri" w:hAnsi="Calibri"/>
          <w:color w:val="1A202C"/>
          <w:sz w:val="22"/>
          <w:rtl w:val="1"/>
        </w:rPr>
        <w:t>أنماط Workflow: Chaining, Routing, Orchestrator-Workers</w:t>
      </w:r>
      <w:r>
        <w:rPr>
          <w:rFonts w:ascii="Calibri" w:hAnsi="Calibri"/>
          <w:color w:val="B8956B"/>
          <w:sz w:val="22"/>
        </w:rPr>
        <w:t xml:space="preserve">  •</w:t>
      </w:r>
    </w:p>
    <w:p>
      <w:pPr>
        <w:spacing w:after="60"/>
        <w:ind w:right="504"/>
        <w:jc w:val="right"/>
        <w:bidi w:val="1"/>
      </w:pPr>
      <w:r>
        <w:rPr>
          <w:rFonts w:ascii="Calibri" w:hAnsi="Calibri"/>
          <w:color w:val="1A202C"/>
          <w:sz w:val="22"/>
          <w:rtl w:val="1"/>
        </w:rPr>
        <w:t>إطار عمل واحد متقدم (LangGraph أو CrewAI)</w:t>
      </w:r>
      <w:r>
        <w:rPr>
          <w:rFonts w:ascii="Calibri" w:hAnsi="Calibri"/>
          <w:color w:val="B8956B"/>
          <w:sz w:val="22"/>
        </w:rPr>
        <w:t xml:space="preserve">  •</w:t>
      </w:r>
    </w:p>
    <w:p>
      <w:pPr>
        <w:spacing w:after="60"/>
        <w:ind w:right="504"/>
        <w:jc w:val="right"/>
        <w:bidi w:val="1"/>
      </w:pPr>
      <w:r>
        <w:rPr>
          <w:rFonts w:ascii="Calibri" w:hAnsi="Calibri"/>
          <w:color w:val="1A202C"/>
          <w:sz w:val="22"/>
          <w:rtl w:val="1"/>
        </w:rPr>
        <w:t>مشروع: وكيل بحث متعدد المصادر مع فريق من الوكلاء الفرعيين</w:t>
      </w:r>
      <w:r>
        <w:rPr>
          <w:rFonts w:ascii="Calibri" w:hAnsi="Calibri"/>
          <w:color w:val="B8956B"/>
          <w:sz w:val="22"/>
        </w:rPr>
        <w:t xml:space="preserve">  •</w:t>
      </w:r>
    </w:p>
    <w:p>
      <w:pPr>
        <w:pStyle w:val="Heading2"/>
        <w:spacing w:before="240" w:after="80"/>
        <w:jc w:val="right"/>
        <w:bidi w:val="1"/>
        <w:pBdr>
          <w:bottom w:val="single" w:sz="6" w:space="3" w:color="1B3A5F"/>
        </w:pBdr>
      </w:pPr>
      <w:r>
        <w:rPr>
          <w:rFonts w:ascii="Calibri" w:hAnsi="Calibri"/>
          <w:b/>
          <w:color w:val="1B3A5F"/>
          <w:sz w:val="30"/>
          <w:rtl w:val="1"/>
        </w:rPr>
        <w:t>المرحلة الرابعة: الإنتاج والاحتراف (3-5 أسابيع)</w:t>
      </w:r>
    </w:p>
    <w:p>
      <w:pPr>
        <w:spacing w:after="60"/>
        <w:ind w:right="504"/>
        <w:jc w:val="right"/>
        <w:bidi w:val="1"/>
      </w:pPr>
      <w:r>
        <w:rPr>
          <w:rFonts w:ascii="Calibri" w:hAnsi="Calibri"/>
          <w:color w:val="1A202C"/>
          <w:sz w:val="22"/>
          <w:rtl w:val="1"/>
        </w:rPr>
        <w:t>MCP Servers: بناء وتكامل</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النشر: FastAPI + Docker + Cloud</w:t>
      </w:r>
      <w:r>
        <w:rPr>
          <w:rFonts w:ascii="Calibri" w:hAnsi="Calibri"/>
          <w:color w:val="B8956B"/>
          <w:sz w:val="22"/>
        </w:rPr>
        <w:t xml:space="preserve">  •</w:t>
      </w:r>
    </w:p>
    <w:p>
      <w:pPr>
        <w:spacing w:after="60"/>
        <w:ind w:right="504"/>
        <w:jc w:val="right"/>
        <w:bidi w:val="1"/>
      </w:pPr>
      <w:r>
        <w:rPr>
          <w:rFonts w:ascii="Calibri" w:hAnsi="Calibri"/>
          <w:color w:val="1A202C"/>
          <w:sz w:val="22"/>
          <w:rtl w:val="1"/>
        </w:rPr>
        <w:t>المراقبة: LangSmith, Tracing, Evaluation</w:t>
      </w:r>
      <w:r>
        <w:rPr>
          <w:rFonts w:ascii="Calibri" w:hAnsi="Calibri"/>
          <w:color w:val="B8956B"/>
          <w:sz w:val="22"/>
        </w:rPr>
        <w:t xml:space="preserve">  •</w:t>
      </w:r>
    </w:p>
    <w:p>
      <w:pPr>
        <w:spacing w:after="60"/>
        <w:ind w:right="504"/>
        <w:jc w:val="right"/>
        <w:bidi w:val="1"/>
      </w:pPr>
      <w:r>
        <w:rPr>
          <w:rFonts w:ascii="Calibri" w:hAnsi="Calibri"/>
          <w:color w:val="1A202C"/>
          <w:sz w:val="22"/>
          <w:rtl w:val="1"/>
        </w:rPr>
        <w:t>أمان الوكلاء: Guardrails, Sandboxing</w:t>
      </w:r>
      <w:r>
        <w:rPr>
          <w:rFonts w:ascii="Calibri" w:hAnsi="Calibri"/>
          <w:color w:val="B8956B"/>
          <w:sz w:val="22"/>
        </w:rPr>
        <w:t xml:space="preserve">  •</w:t>
      </w:r>
    </w:p>
    <w:p>
      <w:pPr>
        <w:spacing w:after="60"/>
        <w:ind w:right="504"/>
        <w:jc w:val="right"/>
        <w:bidi w:val="1"/>
      </w:pPr>
      <w:r>
        <w:rPr>
          <w:rFonts w:ascii="Calibri" w:hAnsi="Calibri"/>
          <w:color w:val="1A202C"/>
          <w:sz w:val="22"/>
          <w:rtl w:val="1"/>
        </w:rPr>
        <w:t>مشروع ختامي: وكيل مؤسسي متكامل مع MCP, RAG, Multi-Agent, ولوحة مراقبة</w:t>
      </w:r>
      <w:r>
        <w:rPr>
          <w:rFonts w:ascii="Calibri" w:hAnsi="Calibri"/>
          <w:color w:val="B8956B"/>
          <w:sz w:val="22"/>
        </w:rPr>
        <w:t xml:space="preserve">  •</w:t>
      </w:r>
    </w:p>
    <w:tbl>
      <w:tblPr>
        <w:tblW w:type="auto" w:w="0"/>
        <w:tblLook w:firstColumn="1" w:firstRow="1" w:lastColumn="0" w:lastRow="0" w:noHBand="0" w:noVBand="1" w:val="04A0"/>
      </w:tblPr>
      <w:tblGrid>
        <w:gridCol w:w="8640"/>
      </w:tblGrid>
      <w:tr>
        <w:tc>
          <w:tcPr>
            <w:tcW w:type="dxa" w:w="8640"/>
            <w:shd w:val="clear" w:color="auto" w:fill="ECFDF5"/>
            <w:tcBorders>
              <w:top w:val="single" w:sz="4" w:space="0" w:color="ECFDF5"/>
              <w:left w:val="single" w:sz="24" w:space="0" w:color="059669"/>
              <w:bottom w:val="single" w:sz="4" w:space="0" w:color="ECFDF5"/>
              <w:right w:val="single" w:sz="4" w:space="0" w:color="ECFDF5"/>
            </w:tcBorders>
          </w:tcPr>
          <w:p>
            <w:pPr>
              <w:spacing w:before="120" w:after="120"/>
              <w:jc w:val="right"/>
              <w:bidi w:val="1"/>
            </w:pPr>
            <w:r>
              <w:rPr>
                <w:rFonts w:ascii="Calibri" w:hAnsi="Calibri"/>
                <w:b/>
                <w:color w:val="059669"/>
                <w:sz w:val="18"/>
              </w:rPr>
              <w:t xml:space="preserve">TIP  </w:t>
            </w:r>
            <w:r>
              <w:rPr>
                <w:rFonts w:ascii="Calibri" w:hAnsi="Calibri"/>
                <w:color w:val="1A202C"/>
                <w:sz w:val="20"/>
                <w:rtl w:val="1"/>
              </w:rPr>
              <w:t>المدة الإجمالية التقريبية: 12-20 أسبوعًا (3-5 أشهر) بوتيرة دراسة منتظمة. يمكن تقليصها إلى 8-12 أسبوعًا مع التفرغ الكامل.</w:t>
            </w:r>
          </w:p>
        </w:tc>
      </w:tr>
    </w:tbl>
    <w:p>
      <w:pPr>
        <w:spacing w:after="8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9. جدول الأدوات والمصادر — Tools and Resources Reference</w:t>
      </w:r>
    </w:p>
    <w:p>
      <w:pPr>
        <w:spacing w:after="160" w:line="276" w:lineRule="auto"/>
        <w:jc w:val="right"/>
        <w:bidi w:val="1"/>
      </w:pPr>
      <w:r>
        <w:rPr>
          <w:rFonts w:ascii="Calibri" w:hAnsi="Calibri"/>
          <w:color w:val="1A202C"/>
          <w:sz w:val="22"/>
          <w:rtl w:val="1"/>
        </w:rPr>
        <w:t>الجدول التالي يلخص أهم الأدوات التي يجب إتقانها في كل مجال:</w:t>
      </w:r>
    </w:p>
    <w:tbl>
      <w:tblPr>
        <w:tblStyle w:val="TableGrid"/>
        <w:tblW w:type="auto" w:w="0"/>
        <w:tblLayout w:type="autofit"/>
        <w:tblLook w:firstColumn="1" w:firstRow="1" w:lastColumn="0" w:lastRow="0" w:noHBand="0" w:noVBand="1" w:val="04A0"/>
      </w:tblPr>
      <w:tblGrid>
        <w:gridCol w:w="2160"/>
        <w:gridCol w:w="2160"/>
        <w:gridCol w:w="2160"/>
        <w:gridCol w:w="2160"/>
      </w:tblGrid>
      <w:tr>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المجال</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الأدوات الأساسية</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أدوات متقدمة</w:t>
            </w:r>
          </w:p>
        </w:tc>
        <w:tc>
          <w:tcPr>
            <w:tcW w:type="dxa" w:w="2160"/>
            <w:shd w:val="clear" w:color="auto" w:fill="0A192F"/>
            <w:tcBorders>
              <w:top w:val="single" w:sz="4" w:space="0" w:color="0A192F"/>
              <w:left w:val="single" w:sz="4" w:space="0" w:color="0A192F"/>
              <w:bottom w:val="single" w:sz="4" w:space="0" w:color="0A192F"/>
              <w:right w:val="single" w:sz="4" w:space="0" w:color="0A192F"/>
            </w:tcBorders>
          </w:tcPr>
          <w:p>
            <w:pPr>
              <w:spacing w:before="80" w:after="80"/>
              <w:jc w:val="right"/>
              <w:bidi w:val="1"/>
            </w:pPr>
            <w:r/>
            <w:r>
              <w:rPr>
                <w:rFonts w:ascii="Calibri" w:hAnsi="Calibri"/>
                <w:b/>
                <w:color w:val="F8FAFC"/>
                <w:sz w:val="20"/>
                <w:rtl w:val="1"/>
              </w:rPr>
              <w:t>مصادر تعلم</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البرمجة</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Python, Git, REST APIs</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Docker, FastAPI, Async</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Real Python, FastAPI Docs</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LLMs</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OpenAI API, Anthropic API</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Vertex AI, Ollama, vLLM</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OpenAI Docs, DeepLearning.AI</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Prompt Engineering</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System Prompts, Chain-of-Thought</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Loop Engineering, Verifiers</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Anthropic Docs, PromptLayer</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RAG</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ChromaDB, LangChain</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Graph RAG, Re-Ranking, Hybrid</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LangChain Docs, Pinecone Docs</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Agent Frameworks</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LangGraph, CrewAI</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AutoGen, Google ADK, OpenAI SDK</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LangChain Academy, CrewAI Docs</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MCP</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MCP SDK (Python)</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MCP Security, WebMCP</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MCP Docs, modelcontextprotocol.io</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المراقبة</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LangSmith</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Arize, Braintrust, Datadog</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LangSmith Docs</w:t>
            </w:r>
          </w:p>
        </w:tc>
      </w:tr>
      <w:tr>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النشر</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FastAPI, Docker</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Kubernetes, Serverless</w:t>
            </w:r>
          </w:p>
        </w:tc>
        <w:tc>
          <w:tcPr>
            <w:tcW w:type="dxa" w:w="2160"/>
            <w:shd w:val="clear" w:color="auto" w:fill="FFFFFF"/>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Docker Docs, FastAPI Tutorial</w:t>
            </w:r>
          </w:p>
        </w:tc>
      </w:tr>
      <w:tr>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jc w:val="right"/>
              <w:bidi w:val="1"/>
            </w:pPr>
            <w:r/>
            <w:r>
              <w:rPr>
                <w:rFonts w:ascii="Calibri" w:hAnsi="Calibri"/>
                <w:color w:val="1A202C"/>
                <w:sz w:val="20"/>
                <w:rtl w:val="1"/>
              </w:rPr>
              <w:t>الأمان</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Input Validation</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Guardrails, Sandboxing</w:t>
            </w:r>
          </w:p>
        </w:tc>
        <w:tc>
          <w:tcPr>
            <w:tcW w:type="dxa" w:w="2160"/>
            <w:shd w:val="clear" w:color="auto" w:fill="F7F5F0"/>
            <w:tcBorders>
              <w:top w:val="single" w:sz="4" w:space="0" w:color="CBD5E1"/>
              <w:left w:val="single" w:sz="4" w:space="0" w:color="CBD5E1"/>
              <w:bottom w:val="single" w:sz="4" w:space="0" w:color="CBD5E1"/>
              <w:right w:val="single" w:sz="4" w:space="0" w:color="CBD5E1"/>
            </w:tcBorders>
          </w:tcPr>
          <w:p>
            <w:pPr>
              <w:spacing w:before="60" w:after="60"/>
            </w:pPr>
            <w:r/>
            <w:r>
              <w:rPr>
                <w:rFonts w:ascii="Calibri" w:hAnsi="Calibri"/>
                <w:color w:val="1A202C"/>
                <w:sz w:val="20"/>
              </w:rPr>
              <w:t>OWASP LLM Top 10</w:t>
            </w:r>
          </w:p>
        </w:tc>
      </w:tr>
    </w:tbl>
    <w:p>
      <w:pPr>
        <w:spacing w:after="120"/>
      </w:pPr>
    </w:p>
    <w:p>
      <w:r>
        <w:br w:type="page"/>
      </w:r>
    </w:p>
    <w:p>
      <w:pPr>
        <w:pStyle w:val="Heading1"/>
        <w:spacing w:before="360" w:after="160"/>
        <w:jc w:val="right"/>
        <w:keepNext/>
        <w:bidi w:val="1"/>
        <w:pBdr>
          <w:bottom w:val="single" w:sz="12" w:space="6" w:color="B8956B"/>
        </w:pBdr>
      </w:pPr>
      <w:r>
        <w:rPr>
          <w:rFonts w:ascii="Calibri" w:hAnsi="Calibri"/>
          <w:b/>
          <w:color w:val="0A192F"/>
          <w:sz w:val="44"/>
          <w:rtl w:val="1"/>
        </w:rPr>
        <w:t>10. توصيات ختامية — Final Recommendations</w:t>
      </w:r>
    </w:p>
    <w:p>
      <w:pPr>
        <w:spacing w:after="160" w:line="276" w:lineRule="auto"/>
        <w:jc w:val="right"/>
        <w:bidi w:val="1"/>
      </w:pPr>
      <w:r>
        <w:rPr>
          <w:rFonts w:ascii="Calibri" w:hAnsi="Calibri"/>
          <w:color w:val="1A202C"/>
          <w:sz w:val="22"/>
          <w:rtl w:val="1"/>
        </w:rPr>
        <w:t>بناءً على تحليل سوق العمل في 2026 واحتياجات المؤسسات للوكلاء الأذكياء، إليك أهم التوصيات لرحلتك:</w:t>
      </w:r>
    </w:p>
    <w:p>
      <w:pPr>
        <w:spacing w:after="60"/>
        <w:ind w:right="504"/>
        <w:jc w:val="right"/>
        <w:bidi w:val="1"/>
      </w:pPr>
      <w:r>
        <w:rPr>
          <w:rFonts w:ascii="Calibri" w:hAnsi="Calibri"/>
          <w:color w:val="1A202C"/>
          <w:sz w:val="22"/>
          <w:rtl w:val="1"/>
        </w:rPr>
        <w:t>ابدأ بالمشاريع لا النظريات — كل مشروع تبنيه يعلمك أكثر من أي دورة</w:t>
      </w:r>
      <w:r>
        <w:rPr>
          <w:rFonts w:ascii="Calibri" w:hAnsi="Calibri"/>
          <w:color w:val="B8956B"/>
          <w:sz w:val="22"/>
        </w:rPr>
        <w:t xml:space="preserve">  1.</w:t>
      </w:r>
    </w:p>
    <w:p>
      <w:pPr>
        <w:spacing w:after="60"/>
        <w:ind w:right="504"/>
        <w:jc w:val="right"/>
        <w:bidi w:val="1"/>
      </w:pPr>
      <w:r>
        <w:rPr>
          <w:rFonts w:ascii="Calibri" w:hAnsi="Calibri"/>
          <w:color w:val="1A202C"/>
          <w:sz w:val="22"/>
          <w:rtl w:val="1"/>
        </w:rPr>
        <w:t>RAG هو المهارة الأكثر طلبًا وظيفيًا — اجعله أولوية بعد الأساسيات</w:t>
      </w:r>
      <w:r>
        <w:rPr>
          <w:rFonts w:ascii="Calibri" w:hAnsi="Calibri"/>
          <w:color w:val="B8956B"/>
          <w:sz w:val="22"/>
        </w:rPr>
        <w:t xml:space="preserve">  2.</w:t>
      </w:r>
    </w:p>
    <w:p>
      <w:pPr>
        <w:spacing w:after="60"/>
        <w:ind w:right="504"/>
        <w:jc w:val="right"/>
        <w:bidi w:val="1"/>
      </w:pPr>
      <w:r>
        <w:rPr>
          <w:rFonts w:ascii="Calibri" w:hAnsi="Calibri"/>
          <w:color w:val="1A202C"/>
          <w:sz w:val="22"/>
          <w:rtl w:val="1"/>
        </w:rPr>
        <w:t>أتقن إطار عمل واحد بعمق قبل الانتقال لآخر — LangGraph أو CrewAI</w:t>
      </w:r>
      <w:r>
        <w:rPr>
          <w:rFonts w:ascii="Calibri" w:hAnsi="Calibri"/>
          <w:color w:val="B8956B"/>
          <w:sz w:val="22"/>
        </w:rPr>
        <w:t xml:space="preserve">  3.</w:t>
      </w:r>
    </w:p>
    <w:p>
      <w:pPr>
        <w:spacing w:after="60"/>
        <w:ind w:right="504"/>
        <w:jc w:val="right"/>
        <w:bidi w:val="1"/>
      </w:pPr>
      <w:r>
        <w:rPr>
          <w:rFonts w:ascii="Calibri" w:hAnsi="Calibri"/>
          <w:color w:val="1A202C"/>
          <w:sz w:val="22"/>
          <w:rtl w:val="1"/>
        </w:rPr>
        <w:t>تعلم بناء Agents من الصفر قبل استخدام الأطر — تفهم الجوهر</w:t>
      </w:r>
      <w:r>
        <w:rPr>
          <w:rFonts w:ascii="Calibri" w:hAnsi="Calibri"/>
          <w:color w:val="B8956B"/>
          <w:sz w:val="22"/>
        </w:rPr>
        <w:t xml:space="preserve">  4.</w:t>
      </w:r>
    </w:p>
    <w:p>
      <w:pPr>
        <w:spacing w:after="60"/>
        <w:ind w:right="504"/>
        <w:jc w:val="right"/>
        <w:bidi w:val="1"/>
      </w:pPr>
      <w:r>
        <w:rPr>
          <w:rFonts w:ascii="Calibri" w:hAnsi="Calibri"/>
          <w:color w:val="1A202C"/>
          <w:sz w:val="22"/>
          <w:rtl w:val="1"/>
        </w:rPr>
        <w:t>MCP أصبح المعيار الصناعي لتكامل الأدوات — لا تتجاهله</w:t>
      </w:r>
      <w:r>
        <w:rPr>
          <w:rFonts w:ascii="Calibri" w:hAnsi="Calibri"/>
          <w:color w:val="B8956B"/>
          <w:sz w:val="22"/>
        </w:rPr>
        <w:t xml:space="preserve">  5.</w:t>
      </w:r>
    </w:p>
    <w:p>
      <w:pPr>
        <w:spacing w:after="60"/>
        <w:ind w:right="504"/>
        <w:jc w:val="right"/>
        <w:bidi w:val="1"/>
      </w:pPr>
      <w:r>
        <w:rPr>
          <w:rFonts w:ascii="Calibri" w:hAnsi="Calibri"/>
          <w:color w:val="1A202C"/>
          <w:sz w:val="22"/>
          <w:rtl w:val="1"/>
        </w:rPr>
        <w:t>المراقبة والتقييم (Observability) تفصل بين الهاوي والمحترف</w:t>
      </w:r>
      <w:r>
        <w:rPr>
          <w:rFonts w:ascii="Calibri" w:hAnsi="Calibri"/>
          <w:color w:val="B8956B"/>
          <w:sz w:val="22"/>
        </w:rPr>
        <w:t xml:space="preserve">  6.</w:t>
      </w:r>
    </w:p>
    <w:p>
      <w:pPr>
        <w:spacing w:after="60"/>
        <w:ind w:right="504"/>
        <w:jc w:val="right"/>
        <w:bidi w:val="1"/>
      </w:pPr>
      <w:r>
        <w:rPr>
          <w:rFonts w:ascii="Calibri" w:hAnsi="Calibri"/>
          <w:color w:val="1A202C"/>
          <w:sz w:val="22"/>
          <w:rtl w:val="1"/>
        </w:rPr>
        <w:t>الأمان ليس اختياريًا — كل وكيل في الإنتاج يحتاج Guardrails</w:t>
      </w:r>
      <w:r>
        <w:rPr>
          <w:rFonts w:ascii="Calibri" w:hAnsi="Calibri"/>
          <w:color w:val="B8956B"/>
          <w:sz w:val="22"/>
        </w:rPr>
        <w:t xml:space="preserve">  7.</w:t>
      </w:r>
    </w:p>
    <w:p>
      <w:pPr>
        <w:spacing w:after="60"/>
        <w:ind w:right="504"/>
        <w:jc w:val="right"/>
        <w:bidi w:val="1"/>
      </w:pPr>
      <w:r>
        <w:rPr>
          <w:rFonts w:ascii="Calibri" w:hAnsi="Calibri"/>
          <w:color w:val="1A202C"/>
          <w:sz w:val="22"/>
          <w:rtl w:val="1"/>
        </w:rPr>
        <w:t>تخصص في مجال عمودي: Legal Tech, HealthTech, FinTech, Education</w:t>
      </w:r>
      <w:r>
        <w:rPr>
          <w:rFonts w:ascii="Calibri" w:hAnsi="Calibri"/>
          <w:color w:val="B8956B"/>
          <w:sz w:val="22"/>
        </w:rPr>
        <w:t xml:space="preserve">  8.</w:t>
      </w:r>
    </w:p>
    <w:p>
      <w:pPr>
        <w:spacing w:after="60"/>
        <w:ind w:right="504"/>
        <w:jc w:val="right"/>
        <w:bidi w:val="1"/>
      </w:pPr>
      <w:r>
        <w:rPr>
          <w:rFonts w:ascii="Calibri" w:hAnsi="Calibri"/>
          <w:color w:val="1A202C"/>
          <w:sz w:val="22"/>
          <w:rtl w:val="1"/>
        </w:rPr>
        <w:t>تذكر دائمًا: Write Verifiers, Not Prompts</w:t>
      </w:r>
      <w:r>
        <w:rPr>
          <w:rFonts w:ascii="Calibri" w:hAnsi="Calibri"/>
          <w:color w:val="B8956B"/>
          <w:sz w:val="22"/>
        </w:rPr>
        <w:t xml:space="preserve">  9.</w:t>
      </w:r>
    </w:p>
    <w:p>
      <w:pPr>
        <w:spacing w:after="160" w:line="276" w:lineRule="auto"/>
      </w:pPr>
    </w:p>
    <w:tbl>
      <w:tblPr>
        <w:tblW w:type="auto" w:w="0"/>
        <w:tblLook w:firstColumn="1" w:firstRow="1" w:lastColumn="0" w:lastRow="0" w:noHBand="0" w:noVBand="1" w:val="04A0"/>
      </w:tblPr>
      <w:tblGrid>
        <w:gridCol w:w="8640"/>
      </w:tblGrid>
      <w:tr>
        <w:tc>
          <w:tcPr>
            <w:tcW w:type="dxa" w:w="8640"/>
            <w:shd w:val="clear" w:color="auto" w:fill="F7F5F0"/>
            <w:tcBorders>
              <w:top w:val="single" w:sz="4" w:space="0" w:color="F7F5F0"/>
              <w:left w:val="single" w:sz="24" w:space="0" w:color="B8956B"/>
              <w:bottom w:val="single" w:sz="4" w:space="0" w:color="F7F5F0"/>
              <w:right w:val="single" w:sz="4" w:space="0" w:color="F7F5F0"/>
            </w:tcBorders>
          </w:tcPr>
          <w:p>
            <w:pPr>
              <w:spacing w:before="120" w:after="120"/>
              <w:jc w:val="right"/>
              <w:bidi w:val="1"/>
            </w:pPr>
            <w:r>
              <w:rPr>
                <w:rFonts w:ascii="Calibri" w:hAnsi="Calibri"/>
                <w:b/>
                <w:color w:val="B8956B"/>
                <w:sz w:val="18"/>
              </w:rPr>
              <w:t xml:space="preserve">INFO  </w:t>
            </w:r>
            <w:r>
              <w:rPr>
                <w:rFonts w:ascii="Calibri" w:hAnsi="Calibri"/>
                <w:color w:val="1A202C"/>
                <w:sz w:val="20"/>
                <w:rtl w:val="1"/>
              </w:rPr>
              <w:t>المفتاح ليس في معرفة كل أداة، بل في فهم متى ولماذا تستخدم كل منها — System Design Thinking هو ما يصنع مهندس الوكلاء المحترف.</w:t>
            </w:r>
          </w:p>
        </w:tc>
      </w:tr>
    </w:tbl>
    <w:p>
      <w:pPr>
        <w:spacing w:after="80"/>
      </w:pPr>
    </w:p>
    <w:p>
      <w:pPr>
        <w:pBdr>
          <w:bottom w:val="single" w:sz="6" w:space="1" w:color="B8956B"/>
        </w:pBdr>
        <w:spacing w:before="160" w:after="160"/>
      </w:pPr>
    </w:p>
    <w:p>
      <w:pPr>
        <w:spacing w:after="160" w:line="276" w:lineRule="auto"/>
        <w:jc w:val="right"/>
        <w:bidi w:val="1"/>
      </w:pPr>
      <w:r>
        <w:rPr>
          <w:rFonts w:ascii="Calibri" w:hAnsi="Calibri"/>
          <w:color w:val="1A202C"/>
          <w:sz w:val="22"/>
          <w:rtl w:val="1"/>
        </w:rPr>
        <w:t>تم إعداد هذا الدليل بواسطة سنا — المساعد الذكي على منصة Sana AI Agent Platform، بإشراف وتطوير مبحث للبحث والتطوير (Mabahith for Research and Development). للتواصل: info@sanaabot.com | https://sana.om</w:t>
      </w:r>
    </w:p>
    <w:p>
      <w:pPr>
        <w:spacing w:after="160" w:line="276" w:lineRule="auto"/>
        <w:jc w:val="right"/>
        <w:bidi w:val="1"/>
      </w:pPr>
      <w:r>
        <w:rPr>
          <w:rFonts w:ascii="Calibri" w:hAnsi="Calibri"/>
          <w:color w:val="1A202C"/>
          <w:sz w:val="22"/>
          <w:rtl w:val="1"/>
        </w:rPr>
        <w:t>© 2026 الخليل العبدالي. جميع الحقوق محفوظة.</w:t>
      </w:r>
    </w:p>
    <w:sectPr w:rsidR="00FC693F" w:rsidRPr="0006063C" w:rsidSect="00034616">
      <w:headerReference w:type="default" r:id="rId9"/>
      <w:headerReference w:type="first" r:id="rId10"/>
      <w:footerReference w:type="default" r:id="rId11"/>
      <w:pgSz w:w="12240" w:h="15840"/>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Bdr>
        <w:top w:val="single" w:sz="6" w:space="4" w:color="B8956B"/>
      </w:pBdr>
    </w:pPr>
    <w:r>
      <w:rPr>
        <w:rFonts w:ascii="Calibri" w:hAnsi="Calibri"/>
        <w:color w:val="1B3A5F"/>
        <w:sz w:val="18"/>
      </w:rPr>
      <w:t xml:space="preserve">Page </w:t>
    </w:r>
    <w:r>
      <w:rPr>
        <w:rFonts w:ascii="Calibri" w:hAnsi="Calibri"/>
        <w:color w:val="1B3A5F"/>
        <w:sz w:val="18"/>
      </w:rPr>
      <w:fldChar w:fldCharType="begin"/>
      <w:instrText>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Bdr>
        <w:bottom w:val="single" w:sz="8" w:space="4" w:color="B8956B"/>
      </w:pBdr>
    </w:pPr>
    <w:r>
      <w:rPr>
        <w:rFonts w:ascii="Calibri" w:hAnsi="Calibri"/>
        <w:color w:val="1B3A5F"/>
        <w:sz w:val="16"/>
      </w:rPr>
      <w:t>المهارات الأساسية لإتقان الوكلاء الأذكياء والأنظمة الذكية</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g"/><Relationship Id="rId1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